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74AC64" w14:textId="789EDC61" w:rsidR="00DB1D4F" w:rsidRPr="00190009" w:rsidRDefault="00D70A8D">
      <w:pPr>
        <w:rPr>
          <w:rFonts w:ascii="Calibri" w:hAnsi="Calibri" w:cs="Arial"/>
          <w:b/>
          <w:bCs/>
          <w:sz w:val="32"/>
          <w:szCs w:val="32"/>
          <w:lang w:val="en-US"/>
        </w:rPr>
      </w:pPr>
      <w:r w:rsidRPr="00190009">
        <w:rPr>
          <w:rFonts w:ascii="Calibri" w:hAnsi="Calibri" w:cs="Arial"/>
          <w:b/>
          <w:bCs/>
          <w:sz w:val="32"/>
          <w:szCs w:val="32"/>
          <w:lang w:val="en-US"/>
        </w:rPr>
        <w:t xml:space="preserve">Successful </w:t>
      </w:r>
      <w:r w:rsidR="005D198B" w:rsidRPr="00190009">
        <w:rPr>
          <w:rFonts w:ascii="Calibri" w:hAnsi="Calibri" w:cs="Arial"/>
          <w:b/>
          <w:bCs/>
          <w:sz w:val="32"/>
          <w:szCs w:val="32"/>
          <w:lang w:val="en-US"/>
        </w:rPr>
        <w:t xml:space="preserve">non-surgical </w:t>
      </w:r>
      <w:r w:rsidR="00322B3C" w:rsidRPr="00190009">
        <w:rPr>
          <w:rFonts w:ascii="Calibri" w:hAnsi="Calibri" w:cs="Arial"/>
          <w:b/>
          <w:bCs/>
          <w:sz w:val="32"/>
          <w:szCs w:val="32"/>
          <w:lang w:val="en-US"/>
        </w:rPr>
        <w:t xml:space="preserve">peri-implantitis therapy </w:t>
      </w:r>
      <w:r w:rsidRPr="00190009">
        <w:rPr>
          <w:rFonts w:ascii="Calibri" w:hAnsi="Calibri" w:cs="Arial"/>
          <w:b/>
          <w:bCs/>
          <w:sz w:val="32"/>
          <w:szCs w:val="32"/>
          <w:lang w:val="en-US"/>
        </w:rPr>
        <w:t xml:space="preserve">supported with </w:t>
      </w:r>
      <w:r w:rsidR="005D198B" w:rsidRPr="00190009">
        <w:rPr>
          <w:rFonts w:ascii="Calibri" w:hAnsi="Calibri" w:cs="Arial"/>
          <w:b/>
          <w:bCs/>
          <w:sz w:val="32"/>
          <w:szCs w:val="32"/>
          <w:lang w:val="en-US"/>
        </w:rPr>
        <w:t>a hypochlorite cleaning gel and cross-linked hyaluronic acid (</w:t>
      </w:r>
      <w:r w:rsidR="00190009">
        <w:rPr>
          <w:rFonts w:ascii="Calibri" w:hAnsi="Calibri" w:cs="Arial"/>
          <w:b/>
          <w:bCs/>
          <w:sz w:val="32"/>
          <w:szCs w:val="32"/>
          <w:lang w:val="en-US"/>
        </w:rPr>
        <w:t>CLEAN&amp;SEAL</w:t>
      </w:r>
      <w:r w:rsidR="005D198B" w:rsidRPr="00190009">
        <w:rPr>
          <w:rFonts w:ascii="Calibri" w:hAnsi="Calibri" w:cs="Arial"/>
          <w:b/>
          <w:bCs/>
          <w:sz w:val="32"/>
          <w:szCs w:val="32"/>
          <w:lang w:val="en-US"/>
        </w:rPr>
        <w:t>).</w:t>
      </w:r>
    </w:p>
    <w:p w14:paraId="6E0662B9" w14:textId="77777777" w:rsidR="005D198B" w:rsidRPr="00190009" w:rsidRDefault="005D198B" w:rsidP="00BA2C0E">
      <w:pPr>
        <w:rPr>
          <w:rFonts w:ascii="Calibri" w:hAnsi="Calibri" w:cs="Arial"/>
          <w:b/>
          <w:bCs/>
          <w:sz w:val="32"/>
          <w:szCs w:val="32"/>
          <w:lang w:val="en-US"/>
        </w:rPr>
      </w:pPr>
    </w:p>
    <w:p w14:paraId="060650B7" w14:textId="77777777" w:rsidR="00DB1D4F" w:rsidRPr="00190009" w:rsidRDefault="00D70A8D">
      <w:pPr>
        <w:rPr>
          <w:rFonts w:ascii="Calibri" w:hAnsi="Calibri" w:cs="Arial"/>
          <w:sz w:val="28"/>
          <w:szCs w:val="28"/>
          <w:lang w:val="en-US"/>
        </w:rPr>
      </w:pPr>
      <w:r w:rsidRPr="00190009">
        <w:rPr>
          <w:rFonts w:ascii="Calibri" w:hAnsi="Calibri" w:cs="Arial"/>
          <w:sz w:val="28"/>
          <w:szCs w:val="28"/>
          <w:lang w:val="en-US"/>
        </w:rPr>
        <w:t xml:space="preserve">Dr. </w:t>
      </w:r>
      <w:r w:rsidR="00EA2713" w:rsidRPr="00190009">
        <w:rPr>
          <w:rFonts w:ascii="Calibri" w:hAnsi="Calibri" w:cs="Arial"/>
          <w:sz w:val="28"/>
          <w:szCs w:val="28"/>
          <w:lang w:val="en-US"/>
        </w:rPr>
        <w:t xml:space="preserve">Thomas </w:t>
      </w:r>
      <w:r w:rsidRPr="00190009">
        <w:rPr>
          <w:rFonts w:ascii="Calibri" w:hAnsi="Calibri" w:cs="Arial"/>
          <w:sz w:val="28"/>
          <w:szCs w:val="28"/>
          <w:lang w:val="en-US"/>
        </w:rPr>
        <w:t>Liechti</w:t>
      </w:r>
      <w:r w:rsidR="00154814" w:rsidRPr="00190009">
        <w:rPr>
          <w:rFonts w:ascii="Calibri" w:hAnsi="Calibri" w:cs="Arial"/>
          <w:sz w:val="28"/>
          <w:szCs w:val="28"/>
          <w:lang w:val="en-US"/>
        </w:rPr>
        <w:t>, Dr. Thomas Gottwald</w:t>
      </w:r>
    </w:p>
    <w:p w14:paraId="3B53398C" w14:textId="77777777" w:rsidR="008B3B63" w:rsidRPr="00190009" w:rsidRDefault="008B3B63">
      <w:pPr>
        <w:rPr>
          <w:rFonts w:ascii="Calibri" w:hAnsi="Calibri" w:cs="Arial"/>
          <w:b/>
          <w:bCs/>
          <w:sz w:val="18"/>
          <w:szCs w:val="18"/>
          <w:lang w:val="en-US"/>
        </w:rPr>
      </w:pPr>
    </w:p>
    <w:p w14:paraId="02D38B20" w14:textId="77777777" w:rsidR="00DB1D4F" w:rsidRPr="00190009" w:rsidRDefault="00D70A8D">
      <w:pPr>
        <w:rPr>
          <w:rFonts w:ascii="Calibri" w:hAnsi="Calibri"/>
          <w:lang w:val="en-US"/>
        </w:rPr>
      </w:pPr>
      <w:r w:rsidRPr="00190009">
        <w:rPr>
          <w:rFonts w:ascii="Calibri" w:hAnsi="Calibri"/>
          <w:lang w:val="en-US"/>
        </w:rPr>
        <w:t xml:space="preserve">The combination of adjunctive application of </w:t>
      </w:r>
      <w:r w:rsidR="005E145D" w:rsidRPr="00190009">
        <w:rPr>
          <w:rFonts w:ascii="Calibri" w:hAnsi="Calibri"/>
          <w:lang w:val="en-US"/>
        </w:rPr>
        <w:t xml:space="preserve">a </w:t>
      </w:r>
      <w:r w:rsidRPr="00190009">
        <w:rPr>
          <w:rFonts w:ascii="Calibri" w:hAnsi="Calibri"/>
          <w:lang w:val="en-US"/>
        </w:rPr>
        <w:t xml:space="preserve">sodium hypochlorite cleaning gel in the mechanical cleaning of the implant surface </w:t>
      </w:r>
      <w:r w:rsidR="005E145D" w:rsidRPr="00190009">
        <w:rPr>
          <w:rFonts w:ascii="Calibri" w:hAnsi="Calibri"/>
          <w:lang w:val="en-US"/>
        </w:rPr>
        <w:t xml:space="preserve">with the </w:t>
      </w:r>
      <w:r w:rsidRPr="00190009">
        <w:rPr>
          <w:rFonts w:ascii="Calibri" w:hAnsi="Calibri"/>
          <w:lang w:val="en-US"/>
        </w:rPr>
        <w:t xml:space="preserve">application of a cross-linked hyaluronic acid into </w:t>
      </w:r>
      <w:r w:rsidR="006D72AE" w:rsidRPr="00190009">
        <w:rPr>
          <w:rFonts w:ascii="Calibri" w:hAnsi="Calibri"/>
          <w:lang w:val="en-US"/>
        </w:rPr>
        <w:t>the</w:t>
      </w:r>
      <w:r w:rsidRPr="00190009">
        <w:rPr>
          <w:rFonts w:ascii="Calibri" w:hAnsi="Calibri"/>
          <w:lang w:val="en-US"/>
        </w:rPr>
        <w:t xml:space="preserve"> cleaned wound space </w:t>
      </w:r>
      <w:r w:rsidR="005E145D" w:rsidRPr="00190009">
        <w:rPr>
          <w:rFonts w:ascii="Calibri" w:hAnsi="Calibri"/>
          <w:lang w:val="en-US"/>
        </w:rPr>
        <w:t xml:space="preserve">offers a less-invasive initial therapy option </w:t>
      </w:r>
      <w:r w:rsidRPr="00190009">
        <w:rPr>
          <w:rFonts w:ascii="Calibri" w:hAnsi="Calibri"/>
          <w:lang w:val="en-US"/>
        </w:rPr>
        <w:t xml:space="preserve">in the non-surgical treatment of peri-implant defects. </w:t>
      </w:r>
    </w:p>
    <w:p w14:paraId="088D073F" w14:textId="77777777" w:rsidR="005C67E8" w:rsidRPr="00190009" w:rsidRDefault="005C67E8">
      <w:pPr>
        <w:rPr>
          <w:rFonts w:ascii="Calibri" w:hAnsi="Calibri" w:cs="Arial"/>
          <w:b/>
          <w:bCs/>
          <w:lang w:val="en-US"/>
        </w:rPr>
      </w:pPr>
    </w:p>
    <w:p w14:paraId="255BAD58" w14:textId="77777777" w:rsidR="00DB1D4F" w:rsidRPr="00190009" w:rsidRDefault="00D70A8D">
      <w:pPr>
        <w:rPr>
          <w:rFonts w:ascii="Calibri" w:hAnsi="Calibri" w:cs="Arial"/>
          <w:b/>
          <w:bCs/>
          <w:lang w:val="en-US"/>
        </w:rPr>
      </w:pPr>
      <w:r w:rsidRPr="00190009">
        <w:rPr>
          <w:rFonts w:ascii="Calibri" w:hAnsi="Calibri" w:cs="Arial"/>
          <w:b/>
          <w:bCs/>
          <w:lang w:val="en-US"/>
        </w:rPr>
        <w:t>Introduction</w:t>
      </w:r>
    </w:p>
    <w:p w14:paraId="4915CEF1" w14:textId="2E7F9A87" w:rsidR="00DB1D4F" w:rsidRPr="00190009" w:rsidRDefault="00D70A8D">
      <w:pPr>
        <w:rPr>
          <w:rFonts w:ascii="Calibri" w:hAnsi="Calibri" w:cs="Arial"/>
          <w:lang w:val="en-US"/>
        </w:rPr>
      </w:pPr>
      <w:r w:rsidRPr="00190009">
        <w:rPr>
          <w:rFonts w:ascii="Calibri" w:hAnsi="Calibri" w:cs="Arial"/>
          <w:lang w:val="en-US"/>
        </w:rPr>
        <w:t>Peri-implant inflammation presents us with a major therapeutic challenge in clinical practice</w:t>
      </w:r>
      <w:r w:rsidR="001E3D1B" w:rsidRPr="00190009">
        <w:rPr>
          <w:rFonts w:ascii="Calibri" w:hAnsi="Calibri" w:cs="Arial"/>
          <w:lang w:val="en-US"/>
        </w:rPr>
        <w:t xml:space="preserve">. </w:t>
      </w:r>
      <w:r w:rsidR="00A66354" w:rsidRPr="00190009">
        <w:rPr>
          <w:rFonts w:ascii="Calibri" w:hAnsi="Calibri" w:cs="Arial"/>
          <w:lang w:val="en-US"/>
        </w:rPr>
        <w:t xml:space="preserve">Similar </w:t>
      </w:r>
      <w:r w:rsidR="001E3D1B" w:rsidRPr="00190009">
        <w:rPr>
          <w:rFonts w:ascii="Calibri" w:hAnsi="Calibri" w:cs="Arial"/>
          <w:lang w:val="en-US"/>
        </w:rPr>
        <w:t xml:space="preserve">to periodontitis, the main cause of </w:t>
      </w:r>
      <w:r w:rsidR="00A66354" w:rsidRPr="00190009">
        <w:rPr>
          <w:rFonts w:ascii="Calibri" w:hAnsi="Calibri" w:cs="Arial"/>
          <w:lang w:val="en-US"/>
        </w:rPr>
        <w:t xml:space="preserve">the disease </w:t>
      </w:r>
      <w:r w:rsidR="001E3D1B" w:rsidRPr="00190009">
        <w:rPr>
          <w:rFonts w:ascii="Calibri" w:hAnsi="Calibri" w:cs="Arial"/>
          <w:lang w:val="en-US"/>
        </w:rPr>
        <w:t xml:space="preserve">is the accumulation of </w:t>
      </w:r>
      <w:r w:rsidR="00190009" w:rsidRPr="00190009">
        <w:rPr>
          <w:rFonts w:ascii="Calibri" w:hAnsi="Calibri" w:cs="Arial"/>
          <w:lang w:val="en-US"/>
        </w:rPr>
        <w:t>pathogenic</w:t>
      </w:r>
      <w:r w:rsidR="00A66354" w:rsidRPr="00190009">
        <w:rPr>
          <w:rFonts w:ascii="Calibri" w:hAnsi="Calibri" w:cs="Arial"/>
          <w:lang w:val="en-US"/>
        </w:rPr>
        <w:t xml:space="preserve"> biofilm in the pockets around the implants, resulting in often uncontrolled tissue </w:t>
      </w:r>
      <w:r w:rsidR="00190009" w:rsidRPr="00190009">
        <w:rPr>
          <w:rFonts w:ascii="Calibri" w:hAnsi="Calibri" w:cs="Arial"/>
          <w:lang w:val="en-US"/>
        </w:rPr>
        <w:t>resorption. [</w:t>
      </w:r>
      <w:r w:rsidR="007A0E97" w:rsidRPr="00190009">
        <w:rPr>
          <w:rFonts w:ascii="Calibri" w:hAnsi="Calibri" w:cs="Arial"/>
          <w:lang w:val="en-US"/>
        </w:rPr>
        <w:t>Page 1997]</w:t>
      </w:r>
    </w:p>
    <w:p w14:paraId="64B0D72B" w14:textId="77777777" w:rsidR="00DB1D4F" w:rsidRPr="00190009" w:rsidRDefault="00D70A8D">
      <w:pPr>
        <w:rPr>
          <w:rFonts w:ascii="Calibri" w:hAnsi="Calibri" w:cs="Arial"/>
          <w:lang w:val="en-US"/>
        </w:rPr>
      </w:pPr>
      <w:r w:rsidRPr="00190009">
        <w:rPr>
          <w:rFonts w:ascii="Calibri" w:hAnsi="Calibri" w:cs="Arial"/>
          <w:lang w:val="en-US"/>
        </w:rPr>
        <w:t xml:space="preserve">Due to the </w:t>
      </w:r>
      <w:r w:rsidR="001E3D1B" w:rsidRPr="00190009">
        <w:rPr>
          <w:rFonts w:ascii="Calibri" w:hAnsi="Calibri" w:cs="Arial"/>
          <w:lang w:val="en-US"/>
        </w:rPr>
        <w:t xml:space="preserve">complexity of the implant surface, successful removal of the biofilm is very difficult in </w:t>
      </w:r>
      <w:r w:rsidR="00A66354" w:rsidRPr="00190009">
        <w:rPr>
          <w:rFonts w:ascii="Calibri" w:hAnsi="Calibri" w:cs="Arial"/>
          <w:lang w:val="en-US"/>
        </w:rPr>
        <w:t xml:space="preserve">clinical practice. </w:t>
      </w:r>
      <w:r w:rsidR="001E3D1B" w:rsidRPr="00190009">
        <w:rPr>
          <w:rFonts w:ascii="Calibri" w:hAnsi="Calibri" w:cs="Arial"/>
          <w:lang w:val="en-US"/>
        </w:rPr>
        <w:t xml:space="preserve">For this reason, less invasive non-surgical therapeutic approaches unfortunately do not lead to predictable resolution of the </w:t>
      </w:r>
      <w:r w:rsidR="00A66354" w:rsidRPr="00190009">
        <w:rPr>
          <w:rFonts w:ascii="Calibri" w:hAnsi="Calibri" w:cs="Arial"/>
          <w:lang w:val="en-US"/>
        </w:rPr>
        <w:t>inflammation</w:t>
      </w:r>
      <w:r w:rsidR="001E3D1B" w:rsidRPr="00190009">
        <w:rPr>
          <w:rFonts w:ascii="Calibri" w:hAnsi="Calibri" w:cs="Arial"/>
          <w:lang w:val="en-US"/>
        </w:rPr>
        <w:t xml:space="preserve"> in most cases.</w:t>
      </w:r>
      <w:r w:rsidR="007A0E97" w:rsidRPr="00190009">
        <w:rPr>
          <w:rFonts w:ascii="Calibri" w:hAnsi="Calibri" w:cs="Arial"/>
          <w:bCs/>
          <w:lang w:val="en-US"/>
        </w:rPr>
        <w:t>[</w:t>
      </w:r>
      <w:r w:rsidR="001E3D1B" w:rsidRPr="00190009">
        <w:rPr>
          <w:rFonts w:ascii="Calibri" w:hAnsi="Calibri" w:cs="Arial"/>
          <w:bCs/>
          <w:lang w:val="en-US"/>
        </w:rPr>
        <w:t xml:space="preserve">Renvert 2015] </w:t>
      </w:r>
    </w:p>
    <w:p w14:paraId="6F3B6615" w14:textId="77777777" w:rsidR="00DB1D4F" w:rsidRPr="00190009" w:rsidRDefault="00D70A8D">
      <w:pPr>
        <w:rPr>
          <w:rFonts w:ascii="Calibri" w:hAnsi="Calibri" w:cs="Arial"/>
          <w:lang w:val="en-US"/>
        </w:rPr>
      </w:pPr>
      <w:r w:rsidRPr="00190009">
        <w:rPr>
          <w:rFonts w:ascii="Calibri" w:hAnsi="Calibri" w:cs="Arial"/>
          <w:lang w:val="en-US"/>
        </w:rPr>
        <w:t xml:space="preserve">Consequently, the standard of care is invasive surgical exposure and cleaning of </w:t>
      </w:r>
      <w:r w:rsidR="00A66354" w:rsidRPr="00190009">
        <w:rPr>
          <w:rFonts w:ascii="Calibri" w:hAnsi="Calibri" w:cs="Arial"/>
          <w:lang w:val="en-US"/>
        </w:rPr>
        <w:t>the implant surface</w:t>
      </w:r>
      <w:r w:rsidRPr="00190009">
        <w:rPr>
          <w:rFonts w:ascii="Calibri" w:hAnsi="Calibri" w:cs="Arial"/>
          <w:lang w:val="en-US"/>
        </w:rPr>
        <w:t xml:space="preserve">, </w:t>
      </w:r>
      <w:r w:rsidR="00A66354" w:rsidRPr="00190009">
        <w:rPr>
          <w:rFonts w:ascii="Calibri" w:hAnsi="Calibri" w:cs="Arial"/>
          <w:lang w:val="en-US"/>
        </w:rPr>
        <w:t xml:space="preserve">combined </w:t>
      </w:r>
      <w:r w:rsidRPr="00190009">
        <w:rPr>
          <w:rFonts w:ascii="Calibri" w:hAnsi="Calibri" w:cs="Arial"/>
          <w:lang w:val="en-US"/>
        </w:rPr>
        <w:t xml:space="preserve">with either a resective or a regenerative approach. </w:t>
      </w:r>
      <w:r w:rsidR="00A66354" w:rsidRPr="00190009">
        <w:rPr>
          <w:rFonts w:ascii="Calibri" w:hAnsi="Calibri"/>
          <w:lang w:val="en-US"/>
        </w:rPr>
        <w:t xml:space="preserve">[Schmidlin </w:t>
      </w:r>
      <w:r w:rsidR="00FA6353" w:rsidRPr="00190009">
        <w:rPr>
          <w:rFonts w:ascii="Calibri" w:hAnsi="Calibri"/>
          <w:lang w:val="en-US"/>
        </w:rPr>
        <w:t xml:space="preserve">2012, </w:t>
      </w:r>
      <w:r w:rsidRPr="00190009">
        <w:rPr>
          <w:rFonts w:ascii="Calibri" w:hAnsi="Calibri" w:cs="Arial"/>
          <w:bCs/>
          <w:lang w:val="en-US"/>
        </w:rPr>
        <w:t>Renvert 2009, Almohandes 2019</w:t>
      </w:r>
      <w:r w:rsidRPr="00190009">
        <w:rPr>
          <w:rFonts w:ascii="Calibri" w:hAnsi="Calibri" w:cs="Arial"/>
          <w:lang w:val="en-US"/>
        </w:rPr>
        <w:t>]</w:t>
      </w:r>
      <w:r w:rsidRPr="00190009">
        <w:rPr>
          <w:rFonts w:ascii="Calibri" w:hAnsi="Calibri" w:cs="Arial"/>
          <w:b/>
          <w:bCs/>
          <w:lang w:val="en-US"/>
        </w:rPr>
        <w:t xml:space="preserve">. </w:t>
      </w:r>
    </w:p>
    <w:p w14:paraId="54C82F2F" w14:textId="77777777" w:rsidR="001E3D1B" w:rsidRPr="00190009" w:rsidRDefault="001E3D1B" w:rsidP="005D198B">
      <w:pPr>
        <w:rPr>
          <w:rFonts w:ascii="Calibri" w:hAnsi="Calibri" w:cs="Arial"/>
          <w:lang w:val="en-US"/>
        </w:rPr>
      </w:pPr>
    </w:p>
    <w:p w14:paraId="1EC70C25" w14:textId="7CB95603" w:rsidR="00DB1D4F" w:rsidRPr="00190009" w:rsidRDefault="00D70A8D">
      <w:pPr>
        <w:rPr>
          <w:rFonts w:ascii="Calibri" w:hAnsi="Calibri" w:cs="Arial"/>
          <w:b/>
          <w:bCs/>
          <w:lang w:val="en-US"/>
        </w:rPr>
      </w:pPr>
      <w:r w:rsidRPr="00190009">
        <w:rPr>
          <w:rFonts w:ascii="Calibri" w:hAnsi="Calibri" w:cs="Arial"/>
          <w:lang w:val="en-US"/>
        </w:rPr>
        <w:t xml:space="preserve">Our clinical treatment goal for both treatment protocols is </w:t>
      </w:r>
      <w:r w:rsidR="001E3D1B" w:rsidRPr="00190009">
        <w:rPr>
          <w:rFonts w:ascii="Calibri" w:hAnsi="Calibri" w:cs="Arial"/>
          <w:lang w:val="en-US"/>
        </w:rPr>
        <w:t xml:space="preserve">resolution of inflammation and </w:t>
      </w:r>
      <w:r w:rsidRPr="00190009">
        <w:rPr>
          <w:rFonts w:ascii="Calibri" w:hAnsi="Calibri" w:cs="Arial"/>
          <w:lang w:val="en-US"/>
        </w:rPr>
        <w:t xml:space="preserve">optimally </w:t>
      </w:r>
      <w:r w:rsidR="00322B3C" w:rsidRPr="00190009">
        <w:rPr>
          <w:rFonts w:ascii="Calibri" w:hAnsi="Calibri" w:cs="Arial"/>
          <w:lang w:val="en-US"/>
        </w:rPr>
        <w:t xml:space="preserve">regeneration of </w:t>
      </w:r>
      <w:r w:rsidR="001E3D1B" w:rsidRPr="00190009">
        <w:rPr>
          <w:rFonts w:ascii="Calibri" w:hAnsi="Calibri" w:cs="Arial"/>
          <w:lang w:val="en-US"/>
        </w:rPr>
        <w:t>bone defects</w:t>
      </w:r>
      <w:r w:rsidRPr="00190009">
        <w:rPr>
          <w:rFonts w:ascii="Calibri" w:hAnsi="Calibri" w:cs="Arial"/>
          <w:lang w:val="en-US"/>
        </w:rPr>
        <w:t xml:space="preserve">. </w:t>
      </w:r>
      <w:r w:rsidR="001E3D1B" w:rsidRPr="00190009">
        <w:rPr>
          <w:rFonts w:ascii="Calibri" w:hAnsi="Calibri" w:cs="Arial"/>
          <w:lang w:val="en-US"/>
        </w:rPr>
        <w:t xml:space="preserve">Radiographic assessment of bone level </w:t>
      </w:r>
      <w:r w:rsidRPr="00190009">
        <w:rPr>
          <w:rFonts w:ascii="Calibri" w:hAnsi="Calibri" w:cs="Arial"/>
          <w:lang w:val="en-US"/>
        </w:rPr>
        <w:t xml:space="preserve">and </w:t>
      </w:r>
      <w:r w:rsidR="00190009" w:rsidRPr="00190009">
        <w:rPr>
          <w:rFonts w:ascii="Calibri" w:hAnsi="Calibri" w:cs="Arial"/>
          <w:lang w:val="en-US"/>
        </w:rPr>
        <w:t>clinical</w:t>
      </w:r>
      <w:r w:rsidR="00322B3C" w:rsidRPr="00190009">
        <w:rPr>
          <w:rFonts w:ascii="Calibri" w:hAnsi="Calibri" w:cs="Arial"/>
          <w:lang w:val="en-US"/>
        </w:rPr>
        <w:t xml:space="preserve"> </w:t>
      </w:r>
      <w:r w:rsidRPr="00190009">
        <w:rPr>
          <w:rFonts w:ascii="Calibri" w:hAnsi="Calibri" w:cs="Arial"/>
          <w:lang w:val="en-US"/>
        </w:rPr>
        <w:t xml:space="preserve">improvement in </w:t>
      </w:r>
      <w:r w:rsidR="001E3D1B" w:rsidRPr="00190009">
        <w:rPr>
          <w:rFonts w:ascii="Calibri" w:hAnsi="Calibri" w:cs="Arial"/>
          <w:lang w:val="en-US"/>
        </w:rPr>
        <w:t>BOP, PD</w:t>
      </w:r>
      <w:r w:rsidRPr="00190009">
        <w:rPr>
          <w:rFonts w:ascii="Calibri" w:hAnsi="Calibri" w:cs="Arial"/>
          <w:lang w:val="en-US"/>
        </w:rPr>
        <w:t xml:space="preserve">, and </w:t>
      </w:r>
      <w:r w:rsidR="001E3D1B" w:rsidRPr="00190009">
        <w:rPr>
          <w:rFonts w:ascii="Calibri" w:hAnsi="Calibri" w:cs="Arial"/>
          <w:lang w:val="en-US"/>
        </w:rPr>
        <w:t xml:space="preserve">REC </w:t>
      </w:r>
      <w:r w:rsidRPr="00190009">
        <w:rPr>
          <w:rFonts w:ascii="Calibri" w:hAnsi="Calibri" w:cs="Arial"/>
          <w:lang w:val="en-US"/>
        </w:rPr>
        <w:t xml:space="preserve">serve as evaluation criteria. </w:t>
      </w:r>
      <w:r w:rsidR="007A0E97" w:rsidRPr="00190009">
        <w:rPr>
          <w:rFonts w:ascii="Calibri" w:hAnsi="Calibri" w:cs="Arial"/>
          <w:lang w:val="en-US"/>
        </w:rPr>
        <w:t>[</w:t>
      </w:r>
      <w:r w:rsidR="001E3D1B" w:rsidRPr="00190009">
        <w:rPr>
          <w:rFonts w:ascii="Calibri" w:hAnsi="Calibri" w:cs="Arial"/>
          <w:bCs/>
          <w:lang w:val="en-US"/>
        </w:rPr>
        <w:t>Almohandes 2019</w:t>
      </w:r>
      <w:r w:rsidR="007A0E97" w:rsidRPr="00190009">
        <w:rPr>
          <w:rFonts w:ascii="Calibri" w:hAnsi="Calibri" w:cs="Arial"/>
          <w:bCs/>
          <w:lang w:val="en-US"/>
        </w:rPr>
        <w:t>]</w:t>
      </w:r>
      <w:r w:rsidR="001E3D1B" w:rsidRPr="00190009">
        <w:rPr>
          <w:rFonts w:ascii="Calibri" w:hAnsi="Calibri" w:cs="Arial"/>
          <w:lang w:val="en-US"/>
        </w:rPr>
        <w:t>.</w:t>
      </w:r>
    </w:p>
    <w:p w14:paraId="5529BAC3" w14:textId="77777777" w:rsidR="001E3D1B" w:rsidRPr="00190009" w:rsidRDefault="001E3D1B" w:rsidP="005D198B">
      <w:pPr>
        <w:rPr>
          <w:rFonts w:ascii="Calibri" w:hAnsi="Calibri" w:cs="Arial"/>
          <w:lang w:val="en-US"/>
        </w:rPr>
      </w:pPr>
    </w:p>
    <w:p w14:paraId="3CEEA414" w14:textId="77777777" w:rsidR="00DB1D4F" w:rsidRPr="00190009" w:rsidRDefault="00D70A8D">
      <w:pPr>
        <w:rPr>
          <w:rFonts w:ascii="Calibri" w:hAnsi="Calibri"/>
          <w:lang w:val="en-US"/>
        </w:rPr>
      </w:pPr>
      <w:r w:rsidRPr="00190009">
        <w:rPr>
          <w:rFonts w:ascii="Calibri" w:hAnsi="Calibri" w:cs="Arial"/>
          <w:lang w:val="en-US"/>
        </w:rPr>
        <w:t xml:space="preserve">To date, no treatment protocol has been established as a "standard". Basically, </w:t>
      </w:r>
      <w:r w:rsidR="001C7A53" w:rsidRPr="00190009">
        <w:rPr>
          <w:rFonts w:ascii="Calibri" w:hAnsi="Calibri" w:cs="Arial"/>
          <w:lang w:val="en-US"/>
        </w:rPr>
        <w:t xml:space="preserve">peri-implantitis therapy </w:t>
      </w:r>
      <w:r w:rsidRPr="00190009">
        <w:rPr>
          <w:rFonts w:ascii="Calibri" w:hAnsi="Calibri" w:cs="Arial"/>
          <w:lang w:val="en-US"/>
        </w:rPr>
        <w:t xml:space="preserve">consists of </w:t>
      </w:r>
      <w:r w:rsidR="00952DBE" w:rsidRPr="00190009">
        <w:rPr>
          <w:rFonts w:ascii="Calibri" w:hAnsi="Calibri" w:cs="Arial"/>
          <w:lang w:val="en-US"/>
        </w:rPr>
        <w:t xml:space="preserve">a multi-step treatment sequence. </w:t>
      </w:r>
      <w:r w:rsidR="0056600E" w:rsidRPr="00190009">
        <w:rPr>
          <w:rFonts w:ascii="Calibri" w:hAnsi="Calibri"/>
          <w:lang w:val="en-US"/>
        </w:rPr>
        <w:t>[</w:t>
      </w:r>
      <w:r w:rsidR="00952DBE" w:rsidRPr="00190009">
        <w:rPr>
          <w:rFonts w:ascii="Calibri" w:hAnsi="Calibri" w:cs="Arial"/>
          <w:lang w:val="en-US"/>
        </w:rPr>
        <w:t xml:space="preserve">Smeets 2014] </w:t>
      </w:r>
    </w:p>
    <w:p w14:paraId="2A1979EB" w14:textId="77777777" w:rsidR="004420B8" w:rsidRPr="00190009" w:rsidRDefault="004420B8">
      <w:pPr>
        <w:rPr>
          <w:rFonts w:ascii="Calibri" w:hAnsi="Calibri" w:cs="Arial"/>
          <w:b/>
          <w:bCs/>
          <w:lang w:val="en-US"/>
        </w:rPr>
      </w:pPr>
    </w:p>
    <w:p w14:paraId="2E67005E" w14:textId="77777777" w:rsidR="00DB1D4F" w:rsidRPr="00190009" w:rsidRDefault="00D70A8D">
      <w:pPr>
        <w:rPr>
          <w:rFonts w:ascii="Calibri" w:hAnsi="Calibri" w:cs="Arial"/>
          <w:b/>
          <w:bCs/>
          <w:lang w:val="en-US"/>
        </w:rPr>
      </w:pPr>
      <w:r w:rsidRPr="00190009">
        <w:rPr>
          <w:rFonts w:ascii="Calibri" w:hAnsi="Calibri" w:cs="Arial"/>
          <w:b/>
          <w:bCs/>
          <w:lang w:val="en-US"/>
        </w:rPr>
        <w:t xml:space="preserve">Cleaning and </w:t>
      </w:r>
      <w:r w:rsidR="004420B8" w:rsidRPr="00190009">
        <w:rPr>
          <w:rFonts w:ascii="Calibri" w:hAnsi="Calibri" w:cs="Arial"/>
          <w:b/>
          <w:bCs/>
          <w:lang w:val="en-US"/>
        </w:rPr>
        <w:t>decontamination</w:t>
      </w:r>
    </w:p>
    <w:p w14:paraId="4085E160" w14:textId="77777777" w:rsidR="00DB1D4F" w:rsidRPr="00190009" w:rsidRDefault="00D70A8D">
      <w:pPr>
        <w:rPr>
          <w:rFonts w:ascii="Calibri" w:hAnsi="Calibri" w:cs="Arial"/>
          <w:lang w:val="en-US"/>
        </w:rPr>
      </w:pPr>
      <w:r w:rsidRPr="00190009">
        <w:rPr>
          <w:rFonts w:ascii="Calibri" w:hAnsi="Calibri" w:cs="Arial"/>
          <w:lang w:val="en-US"/>
        </w:rPr>
        <w:t xml:space="preserve">The biggest problem is still the successful removal of the </w:t>
      </w:r>
      <w:r w:rsidR="0026635C" w:rsidRPr="00190009">
        <w:rPr>
          <w:rFonts w:ascii="Calibri" w:hAnsi="Calibri" w:cs="Arial"/>
          <w:lang w:val="en-US"/>
        </w:rPr>
        <w:t>biofilm and the infected granulation tissue present in the pocket</w:t>
      </w:r>
      <w:r w:rsidRPr="00190009">
        <w:rPr>
          <w:rFonts w:ascii="Calibri" w:hAnsi="Calibri" w:cs="Arial"/>
          <w:lang w:val="en-US"/>
        </w:rPr>
        <w:t xml:space="preserve">. It is well known that mechanical cleaning alone and most </w:t>
      </w:r>
      <w:r w:rsidR="001C7A53" w:rsidRPr="00190009">
        <w:rPr>
          <w:rFonts w:ascii="Calibri" w:hAnsi="Calibri" w:cs="Arial"/>
          <w:lang w:val="en-US"/>
        </w:rPr>
        <w:t xml:space="preserve">chemical </w:t>
      </w:r>
      <w:r w:rsidRPr="00190009">
        <w:rPr>
          <w:rFonts w:ascii="Calibri" w:hAnsi="Calibri" w:cs="Arial"/>
          <w:lang w:val="en-US"/>
        </w:rPr>
        <w:t xml:space="preserve">adjuvants </w:t>
      </w:r>
      <w:r w:rsidR="0026635C" w:rsidRPr="00190009">
        <w:rPr>
          <w:rFonts w:ascii="Calibri" w:hAnsi="Calibri" w:cs="Arial"/>
          <w:lang w:val="en-US"/>
        </w:rPr>
        <w:t xml:space="preserve">cannot achieve </w:t>
      </w:r>
      <w:r w:rsidR="004420B8" w:rsidRPr="00190009">
        <w:rPr>
          <w:rFonts w:ascii="Calibri" w:hAnsi="Calibri" w:cs="Arial"/>
          <w:lang w:val="en-US"/>
        </w:rPr>
        <w:t xml:space="preserve">complete </w:t>
      </w:r>
      <w:r w:rsidRPr="00190009">
        <w:rPr>
          <w:rFonts w:ascii="Calibri" w:hAnsi="Calibri" w:cs="Arial"/>
          <w:lang w:val="en-US"/>
        </w:rPr>
        <w:t xml:space="preserve">cleaning of </w:t>
      </w:r>
      <w:r w:rsidR="004420B8" w:rsidRPr="00190009">
        <w:rPr>
          <w:rFonts w:ascii="Calibri" w:hAnsi="Calibri" w:cs="Arial"/>
          <w:lang w:val="en-US"/>
        </w:rPr>
        <w:t xml:space="preserve">the </w:t>
      </w:r>
      <w:r w:rsidR="0026635C" w:rsidRPr="00190009">
        <w:rPr>
          <w:rFonts w:ascii="Calibri" w:hAnsi="Calibri" w:cs="Arial"/>
          <w:lang w:val="en-US"/>
        </w:rPr>
        <w:t xml:space="preserve">implant surface and the peri-implant defect filled with infected granulation tissue, </w:t>
      </w:r>
      <w:r w:rsidR="004F205D" w:rsidRPr="00190009">
        <w:rPr>
          <w:rFonts w:ascii="Calibri" w:hAnsi="Calibri" w:cs="Arial"/>
          <w:lang w:val="en-US"/>
        </w:rPr>
        <w:t xml:space="preserve">especially </w:t>
      </w:r>
      <w:r w:rsidRPr="00190009">
        <w:rPr>
          <w:rFonts w:ascii="Calibri" w:hAnsi="Calibri" w:cs="Arial"/>
          <w:lang w:val="en-US"/>
        </w:rPr>
        <w:t xml:space="preserve">in </w:t>
      </w:r>
      <w:r w:rsidR="004F205D" w:rsidRPr="00190009">
        <w:rPr>
          <w:rFonts w:ascii="Calibri" w:hAnsi="Calibri" w:cs="Arial"/>
          <w:lang w:val="en-US"/>
        </w:rPr>
        <w:t xml:space="preserve">a </w:t>
      </w:r>
      <w:r w:rsidRPr="00190009">
        <w:rPr>
          <w:rFonts w:ascii="Calibri" w:hAnsi="Calibri" w:cs="Arial"/>
          <w:lang w:val="en-US"/>
        </w:rPr>
        <w:t xml:space="preserve">non-surgical </w:t>
      </w:r>
      <w:r w:rsidR="004F205D" w:rsidRPr="00190009">
        <w:rPr>
          <w:rFonts w:ascii="Calibri" w:hAnsi="Calibri" w:cs="Arial"/>
          <w:lang w:val="en-US"/>
        </w:rPr>
        <w:t>approach</w:t>
      </w:r>
      <w:r w:rsidRPr="00190009">
        <w:rPr>
          <w:rFonts w:ascii="Calibri" w:hAnsi="Calibri" w:cs="Arial"/>
          <w:lang w:val="en-US"/>
        </w:rPr>
        <w:t xml:space="preserve">. </w:t>
      </w:r>
      <w:r w:rsidR="004420B8" w:rsidRPr="00190009">
        <w:rPr>
          <w:rFonts w:ascii="Calibri" w:hAnsi="Calibri" w:cs="Arial"/>
          <w:lang w:val="en-US"/>
        </w:rPr>
        <w:t>[</w:t>
      </w:r>
      <w:r w:rsidR="003068E6" w:rsidRPr="00190009">
        <w:rPr>
          <w:rFonts w:ascii="Calibri" w:hAnsi="Calibri" w:cs="Arial"/>
          <w:lang w:val="en-US"/>
        </w:rPr>
        <w:t>Koo 2019, Stavropoulos 2019</w:t>
      </w:r>
      <w:r w:rsidRPr="00190009">
        <w:rPr>
          <w:rFonts w:ascii="Calibri" w:hAnsi="Calibri" w:cs="Arial"/>
          <w:lang w:val="en-US"/>
        </w:rPr>
        <w:t xml:space="preserve">, </w:t>
      </w:r>
      <w:r w:rsidR="003E30BD" w:rsidRPr="00190009">
        <w:rPr>
          <w:rFonts w:ascii="Calibri" w:hAnsi="Calibri" w:cs="Arial"/>
          <w:lang w:val="en-US"/>
        </w:rPr>
        <w:t>Mordini 2021]</w:t>
      </w:r>
    </w:p>
    <w:p w14:paraId="6B2407CC" w14:textId="77777777" w:rsidR="00DB1D4F" w:rsidRPr="00190009" w:rsidRDefault="00D70A8D">
      <w:pPr>
        <w:rPr>
          <w:rFonts w:ascii="Calibri" w:hAnsi="Calibri"/>
          <w:lang w:val="en-US"/>
        </w:rPr>
      </w:pPr>
      <w:r w:rsidRPr="00190009">
        <w:rPr>
          <w:rFonts w:ascii="Calibri" w:hAnsi="Calibri"/>
          <w:lang w:val="en-US"/>
        </w:rPr>
        <w:t xml:space="preserve">Thus, the best results are generally </w:t>
      </w:r>
      <w:r w:rsidR="001C7A53" w:rsidRPr="00190009">
        <w:rPr>
          <w:rFonts w:ascii="Calibri" w:hAnsi="Calibri"/>
          <w:lang w:val="en-US"/>
        </w:rPr>
        <w:t xml:space="preserve">realized </w:t>
      </w:r>
      <w:r w:rsidRPr="00190009">
        <w:rPr>
          <w:rFonts w:ascii="Calibri" w:hAnsi="Calibri"/>
          <w:lang w:val="en-US"/>
        </w:rPr>
        <w:t xml:space="preserve">by surgical visualization of the defect </w:t>
      </w:r>
      <w:r w:rsidR="001C7A53" w:rsidRPr="00190009">
        <w:rPr>
          <w:rFonts w:ascii="Calibri" w:hAnsi="Calibri"/>
          <w:lang w:val="en-US"/>
        </w:rPr>
        <w:t xml:space="preserve">and </w:t>
      </w:r>
      <w:r w:rsidRPr="00190009">
        <w:rPr>
          <w:rFonts w:ascii="Calibri" w:hAnsi="Calibri"/>
          <w:lang w:val="en-US"/>
        </w:rPr>
        <w:t>careful</w:t>
      </w:r>
      <w:r w:rsidR="001C7A53" w:rsidRPr="00190009">
        <w:rPr>
          <w:rFonts w:ascii="Calibri" w:hAnsi="Calibri"/>
          <w:lang w:val="en-US"/>
        </w:rPr>
        <w:t xml:space="preserve">, multistage, and as complete as possible </w:t>
      </w:r>
      <w:r w:rsidR="0026635C" w:rsidRPr="00190009">
        <w:rPr>
          <w:rFonts w:ascii="Calibri" w:hAnsi="Calibri"/>
          <w:lang w:val="en-US"/>
        </w:rPr>
        <w:t xml:space="preserve">cleaning </w:t>
      </w:r>
      <w:r w:rsidR="001C7A53" w:rsidRPr="00190009">
        <w:rPr>
          <w:rFonts w:ascii="Calibri" w:hAnsi="Calibri"/>
          <w:lang w:val="en-US"/>
        </w:rPr>
        <w:t>by mechanical instrumentation under visualization</w:t>
      </w:r>
      <w:r w:rsidR="00077055" w:rsidRPr="00190009">
        <w:rPr>
          <w:rFonts w:ascii="Calibri" w:hAnsi="Calibri"/>
          <w:lang w:val="en-US"/>
        </w:rPr>
        <w:t>. [Heitz-Mayfield 2014</w:t>
      </w:r>
      <w:r w:rsidR="00077055" w:rsidRPr="00190009">
        <w:rPr>
          <w:rFonts w:ascii="Calibri" w:hAnsi="Calibri"/>
          <w:lang w:val="en-US"/>
        </w:rPr>
        <w:fldChar w:fldCharType="begin"/>
      </w:r>
      <w:r w:rsidR="00077055" w:rsidRPr="00190009">
        <w:rPr>
          <w:rFonts w:ascii="Calibri" w:hAnsi="Calibri"/>
          <w:lang w:val="en-US"/>
        </w:rPr>
        <w:instrText xml:space="preserve"> ADDIN EN.CITE &lt;EndNote&gt;&lt;Cite&gt;&lt;Author&gt;Schwarz&lt;/Author&gt;&lt;Year&gt;2015&lt;/Year&gt;&lt;RecNum&gt;4808&lt;/RecNum&gt;&lt;DisplayText&gt;(Schwarz et al., 2015)&lt;/DisplayText&gt;&lt;record&gt;&lt;rec-number&gt;4808&lt;/rec-number&gt;&lt;foreign-keys&gt;&lt;key app="EN" db-id="rfxvv2256ez096evxamxvv51vpvv2fparevs" timestamp="1547569980"&gt;4808&lt;/key&gt;&lt;/foreign-keys&gt;&lt;ref-type name="Journal Article"&gt;17&lt;/ref-type&gt;&lt;contributors&gt;&lt;authors&gt;&lt;author&gt;Schwarz, F.&lt;/author&gt;&lt;author&gt;Sculean, A.&lt;/author&gt;&lt;author&gt;Engebretson, S. P.&lt;/author&gt;&lt;author&gt;Becker, J.&lt;/author&gt;&lt;author&gt;Sager, M.&lt;/author&gt;&lt;/authors&gt;&lt;/contributors&gt;&lt;titles&gt;&lt;title&gt;Animal models for peri-implant mucositis and peri-implantitis&lt;/title&gt;&lt;secondary-title&gt;Periodontol 2000&lt;/secondary-title&gt;&lt;/titles&gt;&lt;periodical&gt;&lt;full-title&gt;Periodontol 2000&lt;/full-title&gt;&lt;/periodical&gt;&lt;pages&gt;168-81&lt;/pages&gt;&lt;volume&gt;68&lt;/volume&gt;&lt;number&gt;1&lt;/number&gt;&lt;keywords&gt;&lt;keyword&gt;Animals&lt;/keyword&gt;&lt;keyword&gt;Dental Implantation, Endosseous/*adverse effects&lt;/keyword&gt;&lt;keyword&gt;Dental Implants/adverse effects&lt;/keyword&gt;&lt;keyword&gt;Disease Models, Animal&lt;/keyword&gt;&lt;keyword&gt;Dogs&lt;/keyword&gt;&lt;keyword&gt;Humans&lt;/keyword&gt;&lt;keyword&gt;Peri-Implantitis/etiology/*pathology&lt;/keyword&gt;&lt;keyword&gt;Primates&lt;/keyword&gt;&lt;keyword&gt;Stomatitis/etiology/*pathology&lt;/keyword&gt;&lt;keyword&gt;Swine&lt;/keyword&gt;&lt;keyword&gt;Swine, Miniature&lt;/keyword&gt;&lt;/keywords&gt;&lt;dates&gt;&lt;year&gt;2015&lt;/year&gt;&lt;pub-dates&gt;&lt;date&gt;Jun&lt;/date&gt;&lt;/pub-dates&gt;&lt;/dates&gt;&lt;isbn&gt;1600-0757 (Electronic)&amp;#xD;0906-6713 (Linking)&lt;/isbn&gt;&lt;accession-num&gt;25867986&lt;/accession-num&gt;&lt;urls&gt;&lt;related-urls&gt;&lt;url&gt;http://www.ncbi.nlm.nih.gov/pubmed/25867986&lt;/url&gt;&lt;url&gt;https://onlinelibrary.wiley.com/doi/pdf/10.1111/prd.12064&lt;/url&gt;&lt;/related-urls&gt;&lt;/urls&gt;&lt;electronic-resource-num&gt;10.1111/prd.12064&lt;/electronic-resource-num&gt;&lt;/record&gt;&lt;/Cite&gt;&lt;/EndNote&gt;</w:instrText>
      </w:r>
      <w:r w:rsidR="00077055" w:rsidRPr="00190009">
        <w:rPr>
          <w:rFonts w:ascii="Calibri" w:hAnsi="Calibri"/>
          <w:lang w:val="en-US"/>
        </w:rPr>
        <w:fldChar w:fldCharType="separate"/>
      </w:r>
      <w:r w:rsidR="00077055" w:rsidRPr="00190009">
        <w:rPr>
          <w:rFonts w:ascii="Calibri" w:hAnsi="Calibri"/>
          <w:lang w:val="en-US"/>
        </w:rPr>
        <w:t>, Black 2015]</w:t>
      </w:r>
      <w:r w:rsidR="00077055" w:rsidRPr="00190009">
        <w:rPr>
          <w:rFonts w:ascii="Calibri" w:hAnsi="Calibri"/>
          <w:lang w:val="en-US"/>
        </w:rPr>
        <w:fldChar w:fldCharType="end"/>
      </w:r>
    </w:p>
    <w:p w14:paraId="604C1AD6" w14:textId="77777777" w:rsidR="00077055" w:rsidRPr="00190009" w:rsidRDefault="00077055" w:rsidP="00077055">
      <w:pPr>
        <w:rPr>
          <w:rFonts w:ascii="Calibri" w:hAnsi="Calibri"/>
          <w:lang w:val="en-US"/>
        </w:rPr>
      </w:pPr>
    </w:p>
    <w:p w14:paraId="62AE7C26" w14:textId="77777777" w:rsidR="00DB1D4F" w:rsidRPr="00190009" w:rsidRDefault="00D70A8D">
      <w:pPr>
        <w:rPr>
          <w:rFonts w:ascii="Calibri" w:hAnsi="Calibri"/>
          <w:lang w:val="en-US"/>
        </w:rPr>
      </w:pPr>
      <w:r w:rsidRPr="00190009">
        <w:rPr>
          <w:rFonts w:ascii="Calibri" w:hAnsi="Calibri"/>
          <w:lang w:val="en-US"/>
        </w:rPr>
        <w:t xml:space="preserve">A promising </w:t>
      </w:r>
      <w:r w:rsidR="001A11A4" w:rsidRPr="00190009">
        <w:rPr>
          <w:rFonts w:ascii="Calibri" w:hAnsi="Calibri"/>
          <w:lang w:val="en-US"/>
        </w:rPr>
        <w:t xml:space="preserve">low-cost </w:t>
      </w:r>
      <w:r w:rsidRPr="00190009">
        <w:rPr>
          <w:rFonts w:ascii="Calibri" w:hAnsi="Calibri"/>
          <w:lang w:val="en-US"/>
        </w:rPr>
        <w:t xml:space="preserve">option for the adjuvant </w:t>
      </w:r>
      <w:r w:rsidR="0026635C" w:rsidRPr="00190009">
        <w:rPr>
          <w:rFonts w:ascii="Calibri" w:hAnsi="Calibri"/>
          <w:lang w:val="en-US"/>
        </w:rPr>
        <w:t xml:space="preserve">treatment of </w:t>
      </w:r>
      <w:r w:rsidRPr="00190009">
        <w:rPr>
          <w:rFonts w:ascii="Calibri" w:hAnsi="Calibri"/>
          <w:lang w:val="en-US"/>
        </w:rPr>
        <w:t>periodontal and peri-</w:t>
      </w:r>
      <w:r w:rsidRPr="00190009">
        <w:rPr>
          <w:rFonts w:ascii="Calibri" w:hAnsi="Calibri"/>
          <w:lang w:val="en-US"/>
        </w:rPr>
        <w:t xml:space="preserve">implant inflammation is </w:t>
      </w:r>
      <w:r w:rsidR="00113042" w:rsidRPr="00190009">
        <w:rPr>
          <w:rFonts w:ascii="Calibri" w:hAnsi="Calibri"/>
          <w:lang w:val="en-US"/>
        </w:rPr>
        <w:t xml:space="preserve">a cleansing gel </w:t>
      </w:r>
      <w:r w:rsidRPr="00190009">
        <w:rPr>
          <w:rFonts w:ascii="Calibri" w:hAnsi="Calibri"/>
          <w:lang w:val="en-US"/>
        </w:rPr>
        <w:t>based on sodium</w:t>
      </w:r>
      <w:r w:rsidR="00113042" w:rsidRPr="00190009">
        <w:rPr>
          <w:rFonts w:ascii="Calibri" w:hAnsi="Calibri"/>
          <w:lang w:val="en-US"/>
        </w:rPr>
        <w:t xml:space="preserve"> hypochlorite </w:t>
      </w:r>
      <w:r w:rsidRPr="00190009">
        <w:rPr>
          <w:rFonts w:ascii="Calibri" w:hAnsi="Calibri"/>
          <w:lang w:val="en-US"/>
        </w:rPr>
        <w:t>(</w:t>
      </w:r>
      <w:r w:rsidR="00113042" w:rsidRPr="00190009">
        <w:rPr>
          <w:rFonts w:ascii="Calibri" w:hAnsi="Calibri"/>
          <w:lang w:val="en-US"/>
        </w:rPr>
        <w:t>NaOCl</w:t>
      </w:r>
      <w:r w:rsidR="001C7A53" w:rsidRPr="00190009">
        <w:rPr>
          <w:rFonts w:ascii="Calibri" w:hAnsi="Calibri"/>
          <w:lang w:val="en-US"/>
        </w:rPr>
        <w:t xml:space="preserve">) </w:t>
      </w:r>
      <w:r w:rsidRPr="00190009">
        <w:rPr>
          <w:rFonts w:ascii="Calibri" w:hAnsi="Calibri"/>
          <w:lang w:val="en-US"/>
        </w:rPr>
        <w:t xml:space="preserve">(PERISOLV, REGEDENT GmbH). </w:t>
      </w:r>
      <w:r w:rsidR="00113042" w:rsidRPr="00190009">
        <w:rPr>
          <w:rFonts w:ascii="Calibri" w:hAnsi="Calibri"/>
          <w:lang w:val="en-US"/>
        </w:rPr>
        <w:t xml:space="preserve">It consists </w:t>
      </w:r>
      <w:r w:rsidRPr="00190009">
        <w:rPr>
          <w:rFonts w:ascii="Calibri" w:hAnsi="Calibri"/>
          <w:lang w:val="en-US"/>
        </w:rPr>
        <w:t>of a 0.95% NaOCl</w:t>
      </w:r>
      <w:r w:rsidR="00113042" w:rsidRPr="00190009">
        <w:rPr>
          <w:rFonts w:ascii="Calibri" w:hAnsi="Calibri"/>
          <w:lang w:val="en-US"/>
        </w:rPr>
        <w:t xml:space="preserve"> solution which is buffered with an </w:t>
      </w:r>
      <w:r w:rsidRPr="00190009">
        <w:rPr>
          <w:rFonts w:ascii="Calibri" w:hAnsi="Calibri"/>
          <w:lang w:val="en-US"/>
        </w:rPr>
        <w:t xml:space="preserve">amino acid solution </w:t>
      </w:r>
      <w:r w:rsidR="00113042" w:rsidRPr="00190009">
        <w:rPr>
          <w:rFonts w:ascii="Calibri" w:hAnsi="Calibri"/>
          <w:lang w:val="en-US"/>
        </w:rPr>
        <w:t>before use</w:t>
      </w:r>
      <w:r w:rsidRPr="00190009">
        <w:rPr>
          <w:rFonts w:ascii="Calibri" w:hAnsi="Calibri"/>
          <w:lang w:val="en-US"/>
        </w:rPr>
        <w:t>.</w:t>
      </w:r>
    </w:p>
    <w:p w14:paraId="5ADDBA09" w14:textId="77777777" w:rsidR="00DB1D4F" w:rsidRPr="00190009" w:rsidRDefault="00D70A8D">
      <w:pPr>
        <w:rPr>
          <w:rFonts w:ascii="Calibri" w:hAnsi="Calibri"/>
          <w:lang w:val="en-US"/>
        </w:rPr>
      </w:pPr>
      <w:r w:rsidRPr="00190009">
        <w:rPr>
          <w:rFonts w:ascii="Calibri" w:hAnsi="Calibri"/>
          <w:lang w:val="en-US"/>
        </w:rPr>
        <w:t xml:space="preserve">It is known that the gel effectively removes biofilm, </w:t>
      </w:r>
      <w:r w:rsidR="001A11A4" w:rsidRPr="00190009">
        <w:rPr>
          <w:rFonts w:ascii="Calibri" w:hAnsi="Calibri"/>
          <w:lang w:val="en-US"/>
        </w:rPr>
        <w:t xml:space="preserve">[Jurczyz 2015], </w:t>
      </w:r>
      <w:r w:rsidRPr="00190009">
        <w:rPr>
          <w:rFonts w:ascii="Calibri" w:hAnsi="Calibri"/>
          <w:lang w:val="en-US"/>
        </w:rPr>
        <w:t xml:space="preserve">even if it is on a rough </w:t>
      </w:r>
      <w:r w:rsidR="001C7A53" w:rsidRPr="00190009">
        <w:rPr>
          <w:rFonts w:ascii="Calibri" w:hAnsi="Calibri"/>
          <w:lang w:val="en-US"/>
        </w:rPr>
        <w:t xml:space="preserve">implant surface </w:t>
      </w:r>
      <w:r w:rsidR="001A11A4" w:rsidRPr="00190009">
        <w:rPr>
          <w:rFonts w:ascii="Calibri" w:hAnsi="Calibri"/>
          <w:lang w:val="en-US"/>
        </w:rPr>
        <w:t>[Bach 2016].</w:t>
      </w:r>
    </w:p>
    <w:p w14:paraId="0736CB42" w14:textId="77777777" w:rsidR="00DB1D4F" w:rsidRPr="00190009" w:rsidRDefault="00D70A8D">
      <w:pPr>
        <w:rPr>
          <w:rFonts w:ascii="Calibri" w:hAnsi="Calibri"/>
          <w:lang w:val="en-US"/>
        </w:rPr>
      </w:pPr>
      <w:r w:rsidRPr="00190009">
        <w:rPr>
          <w:rFonts w:ascii="Calibri" w:hAnsi="Calibri"/>
          <w:lang w:val="en-US"/>
        </w:rPr>
        <w:t xml:space="preserve">In addition, </w:t>
      </w:r>
      <w:r w:rsidR="00E9341D" w:rsidRPr="00190009">
        <w:rPr>
          <w:rFonts w:ascii="Calibri" w:hAnsi="Calibri"/>
          <w:lang w:val="en-US"/>
        </w:rPr>
        <w:t xml:space="preserve">this gel </w:t>
      </w:r>
      <w:r w:rsidR="001A11A4" w:rsidRPr="00190009">
        <w:rPr>
          <w:rFonts w:ascii="Calibri" w:hAnsi="Calibri"/>
          <w:lang w:val="en-US"/>
        </w:rPr>
        <w:t xml:space="preserve">exhibits a degranulating effect that </w:t>
      </w:r>
      <w:r w:rsidR="0026635C" w:rsidRPr="00190009">
        <w:rPr>
          <w:rFonts w:ascii="Calibri" w:hAnsi="Calibri"/>
          <w:lang w:val="en-US"/>
        </w:rPr>
        <w:t xml:space="preserve">can improve </w:t>
      </w:r>
      <w:r w:rsidR="001A11A4" w:rsidRPr="00190009">
        <w:rPr>
          <w:rFonts w:ascii="Calibri" w:hAnsi="Calibri"/>
          <w:lang w:val="en-US"/>
        </w:rPr>
        <w:t xml:space="preserve">the </w:t>
      </w:r>
      <w:r w:rsidR="0026635C" w:rsidRPr="00190009">
        <w:rPr>
          <w:rFonts w:ascii="Calibri" w:hAnsi="Calibri"/>
          <w:lang w:val="en-US"/>
        </w:rPr>
        <w:t>cleaning of the complex implant surface and the infected pocket around the implant</w:t>
      </w:r>
      <w:r w:rsidR="001A11A4" w:rsidRPr="00190009">
        <w:rPr>
          <w:rFonts w:ascii="Calibri" w:hAnsi="Calibri"/>
          <w:lang w:val="en-US"/>
        </w:rPr>
        <w:t xml:space="preserve">. </w:t>
      </w:r>
      <w:r w:rsidRPr="00190009">
        <w:rPr>
          <w:rFonts w:ascii="Calibri" w:hAnsi="Calibri"/>
          <w:lang w:val="en-US"/>
        </w:rPr>
        <w:t>[</w:t>
      </w:r>
      <w:r w:rsidR="001A11A4" w:rsidRPr="00190009">
        <w:rPr>
          <w:rFonts w:ascii="Calibri" w:hAnsi="Calibri"/>
          <w:lang w:val="en-US"/>
        </w:rPr>
        <w:t xml:space="preserve">Bach 2016] </w:t>
      </w:r>
    </w:p>
    <w:p w14:paraId="5C204A3D" w14:textId="77777777" w:rsidR="00DB1D4F" w:rsidRPr="00190009" w:rsidRDefault="00D70A8D">
      <w:pPr>
        <w:rPr>
          <w:rFonts w:ascii="Calibri" w:hAnsi="Calibri"/>
          <w:lang w:val="en-US"/>
        </w:rPr>
      </w:pPr>
      <w:r w:rsidRPr="00190009">
        <w:rPr>
          <w:rFonts w:ascii="Calibri" w:hAnsi="Calibri"/>
          <w:lang w:val="en-US"/>
        </w:rPr>
        <w:lastRenderedPageBreak/>
        <w:t>Unlike pure Na</w:t>
      </w:r>
      <w:r w:rsidRPr="00190009">
        <w:rPr>
          <w:rFonts w:ascii="Calibri" w:hAnsi="Calibri"/>
          <w:lang w:val="en-US"/>
        </w:rPr>
        <w:t xml:space="preserve">OCl, which </w:t>
      </w:r>
      <w:r w:rsidR="001C7A53" w:rsidRPr="00190009">
        <w:rPr>
          <w:rFonts w:ascii="Calibri" w:hAnsi="Calibri"/>
          <w:lang w:val="en-US"/>
        </w:rPr>
        <w:t xml:space="preserve">has </w:t>
      </w:r>
      <w:r w:rsidRPr="00190009">
        <w:rPr>
          <w:rFonts w:ascii="Calibri" w:hAnsi="Calibri"/>
          <w:lang w:val="en-US"/>
        </w:rPr>
        <w:t xml:space="preserve">tissue </w:t>
      </w:r>
      <w:r w:rsidR="0026635C" w:rsidRPr="00190009">
        <w:rPr>
          <w:rFonts w:ascii="Calibri" w:hAnsi="Calibri"/>
          <w:lang w:val="en-US"/>
        </w:rPr>
        <w:t xml:space="preserve">irritating </w:t>
      </w:r>
      <w:r w:rsidR="001C7A53" w:rsidRPr="00190009">
        <w:rPr>
          <w:rFonts w:ascii="Calibri" w:hAnsi="Calibri"/>
          <w:lang w:val="en-US"/>
        </w:rPr>
        <w:t xml:space="preserve">properties, </w:t>
      </w:r>
      <w:r w:rsidRPr="00190009">
        <w:rPr>
          <w:rFonts w:ascii="Calibri" w:hAnsi="Calibri"/>
          <w:lang w:val="en-US"/>
        </w:rPr>
        <w:t>PERISOLV® acts specifically on degenerated infected tissue structures.</w:t>
      </w:r>
    </w:p>
    <w:p w14:paraId="5DCCE6E4" w14:textId="77777777" w:rsidR="00DB1D4F" w:rsidRPr="00190009" w:rsidRDefault="00D70A8D">
      <w:pPr>
        <w:rPr>
          <w:rFonts w:ascii="Calibri" w:hAnsi="Calibri"/>
          <w:lang w:val="en-US"/>
        </w:rPr>
      </w:pPr>
      <w:r w:rsidRPr="00190009">
        <w:rPr>
          <w:rFonts w:ascii="Calibri" w:hAnsi="Calibri"/>
          <w:lang w:val="en-US"/>
        </w:rPr>
        <w:t xml:space="preserve">In </w:t>
      </w:r>
      <w:r w:rsidR="00FB7C04" w:rsidRPr="00190009">
        <w:rPr>
          <w:rFonts w:ascii="Calibri" w:hAnsi="Calibri"/>
          <w:lang w:val="en-US"/>
        </w:rPr>
        <w:t xml:space="preserve">the </w:t>
      </w:r>
      <w:r w:rsidRPr="00190009">
        <w:rPr>
          <w:rFonts w:ascii="Calibri" w:hAnsi="Calibri"/>
          <w:lang w:val="en-US"/>
        </w:rPr>
        <w:t xml:space="preserve">treatment of </w:t>
      </w:r>
      <w:r w:rsidR="00E9341D" w:rsidRPr="00190009">
        <w:rPr>
          <w:rFonts w:ascii="Calibri" w:hAnsi="Calibri"/>
          <w:lang w:val="en-US"/>
        </w:rPr>
        <w:t xml:space="preserve">peri-implant bone defects, </w:t>
      </w:r>
      <w:r w:rsidR="00FB7C04" w:rsidRPr="00190009">
        <w:rPr>
          <w:rFonts w:ascii="Calibri" w:hAnsi="Calibri"/>
          <w:lang w:val="en-US"/>
        </w:rPr>
        <w:t xml:space="preserve">multiple </w:t>
      </w:r>
      <w:r w:rsidR="00A07E73" w:rsidRPr="00190009">
        <w:rPr>
          <w:rFonts w:ascii="Calibri" w:hAnsi="Calibri"/>
          <w:lang w:val="en-US"/>
        </w:rPr>
        <w:t xml:space="preserve">applications of the </w:t>
      </w:r>
      <w:r w:rsidR="00FB7C04" w:rsidRPr="00190009">
        <w:rPr>
          <w:rFonts w:ascii="Calibri" w:hAnsi="Calibri"/>
          <w:lang w:val="en-US"/>
        </w:rPr>
        <w:t xml:space="preserve">gel are </w:t>
      </w:r>
      <w:r w:rsidR="00E9341D" w:rsidRPr="00190009">
        <w:rPr>
          <w:rFonts w:ascii="Calibri" w:hAnsi="Calibri"/>
          <w:lang w:val="en-US"/>
        </w:rPr>
        <w:t xml:space="preserve">recommended </w:t>
      </w:r>
      <w:r w:rsidR="00FB7C04" w:rsidRPr="00190009">
        <w:rPr>
          <w:rFonts w:ascii="Calibri" w:hAnsi="Calibri"/>
          <w:lang w:val="en-US"/>
        </w:rPr>
        <w:t xml:space="preserve">during </w:t>
      </w:r>
      <w:r w:rsidRPr="00190009">
        <w:rPr>
          <w:rFonts w:ascii="Calibri" w:hAnsi="Calibri"/>
          <w:lang w:val="en-US"/>
        </w:rPr>
        <w:t>mechanical treatment of the implant s</w:t>
      </w:r>
      <w:r w:rsidRPr="00190009">
        <w:rPr>
          <w:rFonts w:ascii="Calibri" w:hAnsi="Calibri"/>
          <w:lang w:val="en-US"/>
        </w:rPr>
        <w:t xml:space="preserve">urface </w:t>
      </w:r>
      <w:r w:rsidR="0026635C" w:rsidRPr="00190009">
        <w:rPr>
          <w:rFonts w:ascii="Calibri" w:hAnsi="Calibri"/>
          <w:lang w:val="en-US"/>
        </w:rPr>
        <w:t xml:space="preserve">and the infected pocket around the implant to </w:t>
      </w:r>
      <w:r w:rsidRPr="00190009">
        <w:rPr>
          <w:rFonts w:ascii="Calibri" w:hAnsi="Calibri"/>
          <w:lang w:val="en-US"/>
        </w:rPr>
        <w:t>achieve better cleaning performance.</w:t>
      </w:r>
    </w:p>
    <w:p w14:paraId="18C2A5C7" w14:textId="77777777" w:rsidR="00DB1D4F" w:rsidRPr="00190009" w:rsidRDefault="00D70A8D">
      <w:pPr>
        <w:rPr>
          <w:rFonts w:ascii="Calibri" w:hAnsi="Calibri" w:cs="Arial"/>
          <w:lang w:val="en-US"/>
        </w:rPr>
      </w:pPr>
      <w:r w:rsidRPr="00190009">
        <w:rPr>
          <w:rFonts w:ascii="Calibri" w:hAnsi="Calibri" w:cs="Arial"/>
          <w:lang w:val="en-US"/>
        </w:rPr>
        <w:t xml:space="preserve">In periodontitis treatment, </w:t>
      </w:r>
      <w:r w:rsidR="00CC68DB" w:rsidRPr="00190009">
        <w:rPr>
          <w:rFonts w:ascii="Calibri" w:hAnsi="Calibri" w:cs="Arial"/>
          <w:lang w:val="en-US"/>
        </w:rPr>
        <w:t xml:space="preserve">adjunctive use of the cleansing gel </w:t>
      </w:r>
      <w:r w:rsidR="00FB7C04" w:rsidRPr="00190009">
        <w:rPr>
          <w:rFonts w:ascii="Calibri" w:hAnsi="Calibri" w:cs="Arial"/>
          <w:lang w:val="en-US"/>
        </w:rPr>
        <w:t xml:space="preserve">can achieve a statistically significant improvement in all measurement parameters (PD, CAL, BOP) in the nonsurgical treatment of </w:t>
      </w:r>
      <w:r w:rsidR="00CC68DB" w:rsidRPr="00190009">
        <w:rPr>
          <w:rFonts w:ascii="Calibri" w:hAnsi="Calibri" w:cs="Arial"/>
          <w:lang w:val="en-US"/>
        </w:rPr>
        <w:t xml:space="preserve">periodontal pockets. </w:t>
      </w:r>
      <w:r w:rsidR="00333CFF" w:rsidRPr="00190009">
        <w:rPr>
          <w:rFonts w:ascii="Calibri" w:hAnsi="Calibri" w:cs="Arial"/>
          <w:lang w:val="en-US"/>
        </w:rPr>
        <w:t>[</w:t>
      </w:r>
      <w:r w:rsidR="004A78A1" w:rsidRPr="00190009">
        <w:rPr>
          <w:rFonts w:ascii="Calibri" w:hAnsi="Calibri" w:cs="Arial"/>
          <w:lang w:val="en-US"/>
        </w:rPr>
        <w:t xml:space="preserve">Iorio-Siciliano </w:t>
      </w:r>
      <w:r w:rsidR="00333CFF" w:rsidRPr="00190009">
        <w:rPr>
          <w:rFonts w:ascii="Calibri" w:hAnsi="Calibri" w:cs="Arial"/>
          <w:lang w:val="en-US"/>
        </w:rPr>
        <w:t>2021]</w:t>
      </w:r>
    </w:p>
    <w:p w14:paraId="7E5E7AD0" w14:textId="77777777" w:rsidR="00DB1D4F" w:rsidRPr="00190009" w:rsidRDefault="00D70A8D">
      <w:pPr>
        <w:rPr>
          <w:rFonts w:ascii="Calibri" w:hAnsi="Calibri" w:cs="Arial"/>
          <w:lang w:val="en-US"/>
        </w:rPr>
      </w:pPr>
      <w:r w:rsidRPr="00190009">
        <w:rPr>
          <w:rFonts w:ascii="Calibri" w:hAnsi="Calibri" w:cs="Arial"/>
          <w:lang w:val="en-US"/>
        </w:rPr>
        <w:t xml:space="preserve">The same is true in </w:t>
      </w:r>
      <w:r w:rsidR="00333CFF" w:rsidRPr="00190009">
        <w:rPr>
          <w:rFonts w:ascii="Calibri" w:hAnsi="Calibri" w:cs="Arial"/>
          <w:lang w:val="en-US"/>
        </w:rPr>
        <w:t xml:space="preserve">the </w:t>
      </w:r>
      <w:r w:rsidR="00CC68DB" w:rsidRPr="00190009">
        <w:rPr>
          <w:rFonts w:ascii="Calibri" w:hAnsi="Calibri" w:cs="Arial"/>
          <w:lang w:val="en-US"/>
        </w:rPr>
        <w:t xml:space="preserve">closed </w:t>
      </w:r>
      <w:r w:rsidR="001A11A4" w:rsidRPr="00190009">
        <w:rPr>
          <w:rFonts w:ascii="Calibri" w:hAnsi="Calibri" w:cs="Arial"/>
          <w:lang w:val="en-US"/>
        </w:rPr>
        <w:t xml:space="preserve">treatment of peri-implant mucositis. [Iorio-Siciliano 2020] The incidence of </w:t>
      </w:r>
      <w:r w:rsidR="001C7A53" w:rsidRPr="00190009">
        <w:rPr>
          <w:rFonts w:ascii="Calibri" w:hAnsi="Calibri" w:cs="Arial"/>
          <w:lang w:val="en-US"/>
        </w:rPr>
        <w:t>exploratory bleeding (BOP</w:t>
      </w:r>
      <w:r w:rsidR="001A11A4" w:rsidRPr="00190009">
        <w:rPr>
          <w:rFonts w:ascii="Calibri" w:hAnsi="Calibri" w:cs="Arial"/>
          <w:lang w:val="en-US"/>
        </w:rPr>
        <w:t xml:space="preserve">) </w:t>
      </w:r>
      <w:r w:rsidRPr="00190009">
        <w:rPr>
          <w:rFonts w:ascii="Calibri" w:hAnsi="Calibri" w:cs="Arial"/>
          <w:lang w:val="en-US"/>
        </w:rPr>
        <w:t xml:space="preserve">was </w:t>
      </w:r>
      <w:r w:rsidR="001A11A4" w:rsidRPr="00190009">
        <w:rPr>
          <w:rFonts w:ascii="Calibri" w:hAnsi="Calibri" w:cs="Arial"/>
          <w:lang w:val="en-US"/>
        </w:rPr>
        <w:t xml:space="preserve">reduced by 70% after 1 month (versus 53% in the control group without gel application). Unfortunately, this promising short-term result was </w:t>
      </w:r>
      <w:r w:rsidRPr="00190009">
        <w:rPr>
          <w:rFonts w:ascii="Calibri" w:hAnsi="Calibri" w:cs="Arial"/>
          <w:lang w:val="en-US"/>
        </w:rPr>
        <w:t xml:space="preserve">not </w:t>
      </w:r>
      <w:r w:rsidR="001A11A4" w:rsidRPr="00190009">
        <w:rPr>
          <w:rFonts w:ascii="Calibri" w:hAnsi="Calibri" w:cs="Arial"/>
          <w:lang w:val="en-US"/>
        </w:rPr>
        <w:t xml:space="preserve">maintained stably in either group. Thus, after 6 months, only 45% of the implants in the gel group and 32% in the control group </w:t>
      </w:r>
      <w:r w:rsidRPr="00190009">
        <w:rPr>
          <w:rFonts w:ascii="Calibri" w:hAnsi="Calibri" w:cs="Arial"/>
          <w:lang w:val="en-US"/>
        </w:rPr>
        <w:t xml:space="preserve">showed </w:t>
      </w:r>
      <w:r w:rsidR="001A11A4" w:rsidRPr="00190009">
        <w:rPr>
          <w:rFonts w:ascii="Calibri" w:hAnsi="Calibri" w:cs="Arial"/>
          <w:lang w:val="en-US"/>
        </w:rPr>
        <w:t xml:space="preserve">no signs of inflammation. </w:t>
      </w:r>
      <w:r w:rsidR="00D12D4B" w:rsidRPr="00190009">
        <w:rPr>
          <w:rFonts w:ascii="Calibri" w:hAnsi="Calibri" w:cs="Arial"/>
          <w:lang w:val="en-US"/>
        </w:rPr>
        <w:t xml:space="preserve">For this reason, the additional use of biologics, which accelerate healing and </w:t>
      </w:r>
      <w:r w:rsidR="00322B3C" w:rsidRPr="00190009">
        <w:rPr>
          <w:rFonts w:ascii="Calibri" w:hAnsi="Calibri" w:cs="Arial"/>
          <w:lang w:val="en-US"/>
        </w:rPr>
        <w:t xml:space="preserve">at the same time act as a sealer to </w:t>
      </w:r>
      <w:r w:rsidR="00D12D4B" w:rsidRPr="00190009">
        <w:rPr>
          <w:rFonts w:ascii="Calibri" w:hAnsi="Calibri" w:cs="Arial"/>
          <w:lang w:val="en-US"/>
        </w:rPr>
        <w:t xml:space="preserve">prevent </w:t>
      </w:r>
      <w:r w:rsidR="00322B3C" w:rsidRPr="00190009">
        <w:rPr>
          <w:rFonts w:ascii="Calibri" w:hAnsi="Calibri" w:cs="Arial"/>
          <w:lang w:val="en-US"/>
        </w:rPr>
        <w:t xml:space="preserve">recontamination </w:t>
      </w:r>
      <w:r w:rsidR="00D12D4B" w:rsidRPr="00190009">
        <w:rPr>
          <w:rFonts w:ascii="Calibri" w:hAnsi="Calibri" w:cs="Arial"/>
          <w:lang w:val="en-US"/>
        </w:rPr>
        <w:t>with biofilm, is an option.</w:t>
      </w:r>
    </w:p>
    <w:p w14:paraId="099A6E42" w14:textId="77777777" w:rsidR="00C5706E" w:rsidRPr="00190009" w:rsidRDefault="00C5706E" w:rsidP="00054F97">
      <w:pPr>
        <w:rPr>
          <w:rFonts w:ascii="Calibri" w:hAnsi="Calibri"/>
          <w:lang w:val="en-US"/>
        </w:rPr>
      </w:pPr>
    </w:p>
    <w:p w14:paraId="048494A6" w14:textId="77777777" w:rsidR="00DB1D4F" w:rsidRPr="00190009" w:rsidRDefault="00D70A8D">
      <w:pPr>
        <w:rPr>
          <w:rFonts w:ascii="Calibri" w:hAnsi="Calibri"/>
          <w:sz w:val="28"/>
          <w:lang w:val="en-US"/>
        </w:rPr>
      </w:pPr>
      <w:r w:rsidRPr="00190009">
        <w:rPr>
          <w:rFonts w:ascii="Calibri" w:hAnsi="Calibri"/>
          <w:sz w:val="28"/>
          <w:lang w:val="en-US"/>
        </w:rPr>
        <w:t>Support of wound and soft tissue healin</w:t>
      </w:r>
      <w:r w:rsidRPr="00190009">
        <w:rPr>
          <w:rFonts w:ascii="Calibri" w:hAnsi="Calibri"/>
          <w:sz w:val="28"/>
          <w:lang w:val="en-US"/>
        </w:rPr>
        <w:t xml:space="preserve">g with </w:t>
      </w:r>
      <w:r w:rsidR="00FB7C04" w:rsidRPr="00190009">
        <w:rPr>
          <w:rFonts w:ascii="Calibri" w:hAnsi="Calibri"/>
          <w:sz w:val="28"/>
          <w:lang w:val="en-US"/>
        </w:rPr>
        <w:t xml:space="preserve">cross-linked </w:t>
      </w:r>
      <w:r w:rsidRPr="00190009">
        <w:rPr>
          <w:rFonts w:ascii="Calibri" w:hAnsi="Calibri"/>
          <w:sz w:val="28"/>
          <w:lang w:val="en-US"/>
        </w:rPr>
        <w:t>hyaluronic acid</w:t>
      </w:r>
    </w:p>
    <w:p w14:paraId="6D476065" w14:textId="77777777" w:rsidR="001B2517" w:rsidRPr="00190009" w:rsidRDefault="001B2517" w:rsidP="00054F97">
      <w:pPr>
        <w:rPr>
          <w:rFonts w:ascii="Calibri" w:hAnsi="Calibri"/>
          <w:lang w:val="en-US"/>
        </w:rPr>
      </w:pPr>
    </w:p>
    <w:p w14:paraId="6649F674" w14:textId="77777777" w:rsidR="00DB1D4F" w:rsidRPr="00190009" w:rsidRDefault="00D70A8D">
      <w:pPr>
        <w:rPr>
          <w:rFonts w:ascii="Calibri" w:hAnsi="Calibri"/>
          <w:lang w:val="en-US"/>
        </w:rPr>
      </w:pPr>
      <w:r w:rsidRPr="00190009">
        <w:rPr>
          <w:rFonts w:ascii="Calibri" w:hAnsi="Calibri"/>
          <w:lang w:val="en-US"/>
        </w:rPr>
        <w:t xml:space="preserve">It is now known that hyaluronic acid (HA) supports the healing process, especially in compromised situations such as peri-implant defects. Due to its strong "adhesive effect" (1 g HA can absorb up to six liters of </w:t>
      </w:r>
      <w:r w:rsidRPr="00190009">
        <w:rPr>
          <w:rFonts w:ascii="Calibri" w:hAnsi="Calibri"/>
          <w:lang w:val="en-US"/>
        </w:rPr>
        <w:t>water) [</w:t>
      </w:r>
      <w:r w:rsidR="009C7440" w:rsidRPr="00190009">
        <w:rPr>
          <w:rFonts w:ascii="Calibri" w:hAnsi="Calibri"/>
          <w:lang w:val="en-US"/>
        </w:rPr>
        <w:t>Rajan 2013</w:t>
      </w:r>
      <w:r w:rsidRPr="00190009">
        <w:rPr>
          <w:rFonts w:ascii="Calibri" w:hAnsi="Calibri"/>
          <w:lang w:val="en-US"/>
        </w:rPr>
        <w:t xml:space="preserve">], blood is immediately bound in the defect space, stabilizing the cleansed wound area. Their bacteriostatic effect increases the protection of the wound space </w:t>
      </w:r>
      <w:r w:rsidR="00D81CBD" w:rsidRPr="00190009">
        <w:rPr>
          <w:rFonts w:ascii="Calibri" w:hAnsi="Calibri"/>
          <w:lang w:val="en-US"/>
        </w:rPr>
        <w:t xml:space="preserve">from recolonization by microorganisms </w:t>
      </w:r>
      <w:r w:rsidRPr="00190009">
        <w:rPr>
          <w:rFonts w:ascii="Calibri" w:hAnsi="Calibri"/>
          <w:lang w:val="en-US"/>
        </w:rPr>
        <w:t>[</w:t>
      </w:r>
      <w:r w:rsidR="009C7440" w:rsidRPr="00190009">
        <w:rPr>
          <w:rFonts w:ascii="Calibri" w:hAnsi="Calibri"/>
          <w:lang w:val="en-US"/>
        </w:rPr>
        <w:t>Carlson 2004</w:t>
      </w:r>
      <w:r w:rsidRPr="00190009">
        <w:rPr>
          <w:rFonts w:ascii="Calibri" w:hAnsi="Calibri"/>
          <w:lang w:val="en-US"/>
        </w:rPr>
        <w:t>]</w:t>
      </w:r>
      <w:r w:rsidR="009C7440" w:rsidRPr="00190009">
        <w:rPr>
          <w:rFonts w:ascii="Calibri" w:hAnsi="Calibri"/>
          <w:lang w:val="en-US"/>
        </w:rPr>
        <w:t>.</w:t>
      </w:r>
    </w:p>
    <w:p w14:paraId="3E80B268" w14:textId="005DE4CA" w:rsidR="00DB1D4F" w:rsidRPr="00190009" w:rsidRDefault="00D70A8D">
      <w:pPr>
        <w:rPr>
          <w:rFonts w:ascii="Calibri" w:hAnsi="Calibri"/>
          <w:lang w:val="en-US"/>
        </w:rPr>
      </w:pPr>
      <w:r w:rsidRPr="00190009">
        <w:rPr>
          <w:rFonts w:ascii="Calibri" w:hAnsi="Calibri"/>
          <w:lang w:val="en-US"/>
        </w:rPr>
        <w:t xml:space="preserve">In addition, hyaluronic </w:t>
      </w:r>
      <w:r w:rsidRPr="00190009">
        <w:rPr>
          <w:rFonts w:ascii="Calibri" w:hAnsi="Calibri"/>
          <w:lang w:val="en-US"/>
        </w:rPr>
        <w:t xml:space="preserve">acid significantly improves all healing processes: It leads to faster </w:t>
      </w:r>
      <w:r w:rsidR="00BF3B16" w:rsidRPr="00190009">
        <w:rPr>
          <w:rFonts w:ascii="Calibri" w:hAnsi="Calibri"/>
          <w:lang w:val="en-US"/>
        </w:rPr>
        <w:t xml:space="preserve">neoangiogenesis post-op and </w:t>
      </w:r>
      <w:r w:rsidRPr="00190009">
        <w:rPr>
          <w:rFonts w:ascii="Calibri" w:hAnsi="Calibri"/>
          <w:lang w:val="en-US"/>
        </w:rPr>
        <w:t xml:space="preserve">shortens </w:t>
      </w:r>
      <w:r w:rsidR="0065296D" w:rsidRPr="00190009">
        <w:rPr>
          <w:rFonts w:ascii="Calibri" w:hAnsi="Calibri"/>
          <w:lang w:val="en-US"/>
        </w:rPr>
        <w:t xml:space="preserve">wound healing. [Yildirim </w:t>
      </w:r>
      <w:r w:rsidR="005F6BFD" w:rsidRPr="00190009">
        <w:rPr>
          <w:rFonts w:ascii="Calibri" w:hAnsi="Calibri"/>
          <w:lang w:val="en-US"/>
        </w:rPr>
        <w:t>2017</w:t>
      </w:r>
      <w:r w:rsidR="0065296D" w:rsidRPr="00190009">
        <w:rPr>
          <w:rFonts w:ascii="Calibri" w:hAnsi="Calibri"/>
          <w:lang w:val="en-US"/>
        </w:rPr>
        <w:t xml:space="preserve">, King </w:t>
      </w:r>
      <w:r w:rsidR="005F6BFD" w:rsidRPr="00190009">
        <w:rPr>
          <w:rFonts w:ascii="Calibri" w:hAnsi="Calibri"/>
          <w:lang w:val="en-US"/>
        </w:rPr>
        <w:t>1991</w:t>
      </w:r>
      <w:r w:rsidR="0065296D" w:rsidRPr="00190009">
        <w:rPr>
          <w:rFonts w:ascii="Calibri" w:hAnsi="Calibri"/>
          <w:lang w:val="en-US"/>
        </w:rPr>
        <w:t xml:space="preserve">] </w:t>
      </w:r>
      <w:r w:rsidR="001D2898" w:rsidRPr="00190009">
        <w:rPr>
          <w:rFonts w:ascii="Calibri" w:hAnsi="Calibri"/>
          <w:lang w:val="en-US"/>
        </w:rPr>
        <w:t xml:space="preserve">Furthermore, HA stimulates true periodontal </w:t>
      </w:r>
      <w:r w:rsidR="00190009" w:rsidRPr="00190009">
        <w:rPr>
          <w:rFonts w:ascii="Calibri" w:hAnsi="Calibri"/>
          <w:lang w:val="en-US"/>
        </w:rPr>
        <w:t>regeneration [</w:t>
      </w:r>
      <w:r w:rsidR="001D2898" w:rsidRPr="00190009">
        <w:rPr>
          <w:rFonts w:ascii="Calibri" w:hAnsi="Calibri"/>
          <w:lang w:val="en-US"/>
        </w:rPr>
        <w:t xml:space="preserve">Shirakata </w:t>
      </w:r>
      <w:r w:rsidR="009C7440" w:rsidRPr="00190009">
        <w:rPr>
          <w:rFonts w:ascii="Calibri" w:hAnsi="Calibri"/>
          <w:lang w:val="en-US"/>
        </w:rPr>
        <w:t>2021</w:t>
      </w:r>
      <w:r w:rsidR="007A0E97" w:rsidRPr="00190009">
        <w:rPr>
          <w:rFonts w:ascii="Calibri" w:hAnsi="Calibri"/>
          <w:lang w:val="en-US"/>
        </w:rPr>
        <w:t xml:space="preserve">] </w:t>
      </w:r>
      <w:r w:rsidR="001D2898" w:rsidRPr="00190009">
        <w:rPr>
          <w:rFonts w:ascii="Calibri" w:hAnsi="Calibri"/>
          <w:lang w:val="en-US"/>
        </w:rPr>
        <w:t xml:space="preserve">and even accelerates bone regeneration </w:t>
      </w:r>
      <w:r w:rsidR="00A61E39" w:rsidRPr="00190009">
        <w:rPr>
          <w:rFonts w:ascii="Calibri" w:hAnsi="Calibri"/>
          <w:lang w:val="en-US"/>
        </w:rPr>
        <w:t>[</w:t>
      </w:r>
      <w:r w:rsidR="003E30BD" w:rsidRPr="00190009">
        <w:rPr>
          <w:rFonts w:ascii="Calibri" w:hAnsi="Calibri"/>
          <w:lang w:val="en-US"/>
        </w:rPr>
        <w:t>Alcantara 2018, Stiller 2014</w:t>
      </w:r>
      <w:r w:rsidR="00A61E39" w:rsidRPr="00190009">
        <w:rPr>
          <w:rFonts w:ascii="Calibri" w:hAnsi="Calibri"/>
          <w:lang w:val="en-US"/>
        </w:rPr>
        <w:t>]</w:t>
      </w:r>
      <w:r w:rsidR="009C7440" w:rsidRPr="00190009">
        <w:rPr>
          <w:rFonts w:ascii="Calibri" w:hAnsi="Calibri"/>
          <w:lang w:val="en-US"/>
        </w:rPr>
        <w:t>.</w:t>
      </w:r>
    </w:p>
    <w:p w14:paraId="6A4919B1" w14:textId="77777777" w:rsidR="007F123D" w:rsidRPr="00190009" w:rsidRDefault="007F123D" w:rsidP="00BF3B16">
      <w:pPr>
        <w:rPr>
          <w:rFonts w:ascii="Calibri" w:hAnsi="Calibri"/>
          <w:lang w:val="en-US"/>
        </w:rPr>
      </w:pPr>
    </w:p>
    <w:p w14:paraId="116B9A4F" w14:textId="77777777" w:rsidR="00DB1D4F" w:rsidRPr="00190009" w:rsidRDefault="00D70A8D">
      <w:pPr>
        <w:rPr>
          <w:rFonts w:ascii="Calibri" w:hAnsi="Calibri"/>
          <w:lang w:val="en-US"/>
        </w:rPr>
      </w:pPr>
      <w:r w:rsidRPr="00190009">
        <w:rPr>
          <w:rFonts w:ascii="Calibri" w:hAnsi="Calibri"/>
          <w:lang w:val="en-US"/>
        </w:rPr>
        <w:t xml:space="preserve">The combination therapy of </w:t>
      </w:r>
      <w:r w:rsidR="00534A66" w:rsidRPr="00190009">
        <w:rPr>
          <w:rFonts w:ascii="Calibri" w:hAnsi="Calibri"/>
          <w:lang w:val="en-US"/>
        </w:rPr>
        <w:t xml:space="preserve">adjunctive application of </w:t>
      </w:r>
      <w:r w:rsidRPr="00190009">
        <w:rPr>
          <w:rFonts w:ascii="Calibri" w:hAnsi="Calibri"/>
          <w:lang w:val="en-US"/>
        </w:rPr>
        <w:t xml:space="preserve">sodium hypochlorite cleansing gel and cross-linked hyaluronic acid has already been successfully applied in the treatment of deep residual periodontal </w:t>
      </w:r>
      <w:r w:rsidRPr="00190009">
        <w:rPr>
          <w:rFonts w:ascii="Calibri" w:hAnsi="Calibri"/>
          <w:lang w:val="en-US"/>
        </w:rPr>
        <w:t>pockets</w:t>
      </w:r>
      <w:r w:rsidR="009C7440" w:rsidRPr="00190009">
        <w:rPr>
          <w:rFonts w:ascii="Calibri" w:hAnsi="Calibri"/>
          <w:lang w:val="en-US"/>
        </w:rPr>
        <w:t xml:space="preserve">, </w:t>
      </w:r>
      <w:r w:rsidR="007A0E97" w:rsidRPr="00190009">
        <w:rPr>
          <w:rFonts w:ascii="Calibri" w:hAnsi="Calibri"/>
          <w:lang w:val="en-US"/>
        </w:rPr>
        <w:t>[</w:t>
      </w:r>
      <w:r w:rsidRPr="00190009">
        <w:rPr>
          <w:rFonts w:ascii="Calibri" w:hAnsi="Calibri"/>
          <w:lang w:val="en-US"/>
        </w:rPr>
        <w:t xml:space="preserve">Diehl </w:t>
      </w:r>
      <w:r w:rsidR="009C7440" w:rsidRPr="00190009">
        <w:rPr>
          <w:rFonts w:ascii="Calibri" w:hAnsi="Calibri"/>
          <w:lang w:val="en-US"/>
        </w:rPr>
        <w:t>2022</w:t>
      </w:r>
      <w:r w:rsidR="007A0E97" w:rsidRPr="00190009">
        <w:rPr>
          <w:rFonts w:ascii="Calibri" w:hAnsi="Calibri"/>
          <w:lang w:val="en-US"/>
        </w:rPr>
        <w:t xml:space="preserve">] </w:t>
      </w:r>
      <w:r w:rsidR="00534A66" w:rsidRPr="00190009">
        <w:rPr>
          <w:rFonts w:ascii="Calibri" w:hAnsi="Calibri"/>
          <w:lang w:val="en-US"/>
        </w:rPr>
        <w:t xml:space="preserve">so the transfer of </w:t>
      </w:r>
      <w:r w:rsidRPr="00190009">
        <w:rPr>
          <w:rFonts w:ascii="Calibri" w:hAnsi="Calibri"/>
          <w:lang w:val="en-US"/>
        </w:rPr>
        <w:t>the concept to the non-surgical treatment of peri-implant defects is obvious.</w:t>
      </w:r>
    </w:p>
    <w:p w14:paraId="680B779A" w14:textId="77777777" w:rsidR="007F7127" w:rsidRPr="00190009" w:rsidRDefault="007F7127" w:rsidP="00054F97">
      <w:pPr>
        <w:rPr>
          <w:rFonts w:ascii="Calibri" w:hAnsi="Calibri"/>
          <w:lang w:val="en-US"/>
        </w:rPr>
      </w:pPr>
    </w:p>
    <w:p w14:paraId="1AF843E9" w14:textId="77777777" w:rsidR="001B2517" w:rsidRPr="00190009" w:rsidRDefault="001B2517" w:rsidP="00054F97">
      <w:pPr>
        <w:rPr>
          <w:rFonts w:ascii="Calibri" w:hAnsi="Calibri"/>
          <w:lang w:val="en-US"/>
        </w:rPr>
      </w:pPr>
    </w:p>
    <w:p w14:paraId="415209E0" w14:textId="77777777" w:rsidR="00DB1D4F" w:rsidRPr="00190009" w:rsidRDefault="00D70A8D">
      <w:pPr>
        <w:rPr>
          <w:rFonts w:ascii="Calibri" w:hAnsi="Calibri"/>
          <w:sz w:val="28"/>
          <w:lang w:val="en-US"/>
        </w:rPr>
      </w:pPr>
      <w:r w:rsidRPr="00190009">
        <w:rPr>
          <w:rFonts w:ascii="Calibri" w:hAnsi="Calibri"/>
          <w:sz w:val="28"/>
          <w:lang w:val="en-US"/>
        </w:rPr>
        <w:t>Case Report</w:t>
      </w:r>
    </w:p>
    <w:p w14:paraId="0351B41D" w14:textId="77777777" w:rsidR="00E85112" w:rsidRPr="00190009" w:rsidRDefault="00E85112" w:rsidP="00E85112">
      <w:pPr>
        <w:rPr>
          <w:rFonts w:ascii="Calibri" w:hAnsi="Calibri"/>
          <w:lang w:val="en-US"/>
        </w:rPr>
      </w:pPr>
    </w:p>
    <w:p w14:paraId="707778ED" w14:textId="77777777" w:rsidR="00DB1D4F" w:rsidRPr="00190009" w:rsidRDefault="00D70A8D">
      <w:pPr>
        <w:rPr>
          <w:rFonts w:ascii="Calibri" w:hAnsi="Calibri"/>
          <w:lang w:val="en-US"/>
        </w:rPr>
      </w:pPr>
      <w:r w:rsidRPr="00190009">
        <w:rPr>
          <w:rFonts w:ascii="Calibri" w:hAnsi="Calibri"/>
          <w:lang w:val="en-US"/>
        </w:rPr>
        <w:t xml:space="preserve">The 49-year-old patient with </w:t>
      </w:r>
      <w:r w:rsidR="00914334" w:rsidRPr="00190009">
        <w:rPr>
          <w:rFonts w:ascii="Calibri" w:hAnsi="Calibri"/>
          <w:lang w:val="en-US"/>
        </w:rPr>
        <w:t xml:space="preserve">no </w:t>
      </w:r>
      <w:r w:rsidR="00D81CBD" w:rsidRPr="00190009">
        <w:rPr>
          <w:rFonts w:ascii="Calibri" w:hAnsi="Calibri"/>
          <w:lang w:val="en-US"/>
        </w:rPr>
        <w:t xml:space="preserve">significant </w:t>
      </w:r>
      <w:r w:rsidR="007E587C" w:rsidRPr="00190009">
        <w:rPr>
          <w:rFonts w:ascii="Calibri" w:hAnsi="Calibri"/>
          <w:lang w:val="en-US"/>
        </w:rPr>
        <w:t xml:space="preserve">medical conditions </w:t>
      </w:r>
      <w:r w:rsidRPr="00190009">
        <w:rPr>
          <w:rFonts w:ascii="Calibri" w:hAnsi="Calibri"/>
          <w:lang w:val="en-US"/>
        </w:rPr>
        <w:t>(</w:t>
      </w:r>
      <w:r w:rsidR="00914334" w:rsidRPr="00190009">
        <w:rPr>
          <w:rFonts w:ascii="Calibri" w:hAnsi="Calibri"/>
          <w:lang w:val="en-US"/>
        </w:rPr>
        <w:t>non-smoker</w:t>
      </w:r>
      <w:r w:rsidRPr="00190009">
        <w:rPr>
          <w:rFonts w:ascii="Calibri" w:hAnsi="Calibri"/>
          <w:lang w:val="en-US"/>
        </w:rPr>
        <w:t xml:space="preserve">) </w:t>
      </w:r>
      <w:r w:rsidR="007E587C" w:rsidRPr="00190009">
        <w:rPr>
          <w:rFonts w:ascii="Calibri" w:hAnsi="Calibri"/>
          <w:lang w:val="en-US"/>
        </w:rPr>
        <w:t xml:space="preserve">was referred for </w:t>
      </w:r>
      <w:r w:rsidR="00D81CBD" w:rsidRPr="00190009">
        <w:rPr>
          <w:rFonts w:ascii="Calibri" w:hAnsi="Calibri"/>
          <w:lang w:val="en-US"/>
        </w:rPr>
        <w:t xml:space="preserve">peri-implantitis treatment on </w:t>
      </w:r>
      <w:r w:rsidR="007E587C" w:rsidRPr="00190009">
        <w:rPr>
          <w:rFonts w:ascii="Calibri" w:hAnsi="Calibri"/>
          <w:lang w:val="en-US"/>
        </w:rPr>
        <w:t xml:space="preserve">implant 12. The implant </w:t>
      </w:r>
      <w:r w:rsidR="00D81CBD" w:rsidRPr="00190009">
        <w:rPr>
          <w:rFonts w:ascii="Calibri" w:hAnsi="Calibri"/>
          <w:lang w:val="en-US"/>
        </w:rPr>
        <w:t xml:space="preserve">(Straumann, BL RC 10mm) </w:t>
      </w:r>
      <w:r w:rsidR="007E587C" w:rsidRPr="00190009">
        <w:rPr>
          <w:rFonts w:ascii="Calibri" w:hAnsi="Calibri"/>
          <w:lang w:val="en-US"/>
        </w:rPr>
        <w:t xml:space="preserve">was placed </w:t>
      </w:r>
      <w:r w:rsidR="00D81CBD" w:rsidRPr="00190009">
        <w:rPr>
          <w:rFonts w:ascii="Calibri" w:hAnsi="Calibri"/>
          <w:lang w:val="en-US"/>
        </w:rPr>
        <w:t xml:space="preserve">10 </w:t>
      </w:r>
      <w:r w:rsidR="007E587C" w:rsidRPr="00190009">
        <w:rPr>
          <w:rFonts w:ascii="Calibri" w:hAnsi="Calibri"/>
          <w:lang w:val="en-US"/>
        </w:rPr>
        <w:t xml:space="preserve">years ago (with bone augmentation in </w:t>
      </w:r>
      <w:r w:rsidR="00D81CBD" w:rsidRPr="00190009">
        <w:rPr>
          <w:rFonts w:ascii="Calibri" w:hAnsi="Calibri"/>
          <w:lang w:val="en-US"/>
        </w:rPr>
        <w:t xml:space="preserve">the apical region due to fenestration) </w:t>
      </w:r>
      <w:r w:rsidR="007E587C" w:rsidRPr="00190009">
        <w:rPr>
          <w:rFonts w:ascii="Calibri" w:hAnsi="Calibri"/>
          <w:lang w:val="en-US"/>
        </w:rPr>
        <w:t xml:space="preserve">and restored with a </w:t>
      </w:r>
      <w:r w:rsidR="00D81CBD" w:rsidRPr="00190009">
        <w:rPr>
          <w:rFonts w:ascii="Calibri" w:hAnsi="Calibri"/>
          <w:lang w:val="en-US"/>
        </w:rPr>
        <w:t xml:space="preserve">screw-retained </w:t>
      </w:r>
      <w:r w:rsidR="007E587C" w:rsidRPr="00190009">
        <w:rPr>
          <w:rFonts w:ascii="Calibri" w:hAnsi="Calibri"/>
          <w:lang w:val="en-US"/>
        </w:rPr>
        <w:t>crown (Figs. 1 and 2)</w:t>
      </w:r>
      <w:r w:rsidRPr="00190009">
        <w:rPr>
          <w:rFonts w:ascii="Calibri" w:hAnsi="Calibri"/>
          <w:lang w:val="en-US"/>
        </w:rPr>
        <w:t xml:space="preserve">. </w:t>
      </w:r>
      <w:r w:rsidR="00C82537" w:rsidRPr="00190009">
        <w:rPr>
          <w:rFonts w:ascii="Calibri" w:hAnsi="Calibri"/>
          <w:lang w:val="en-US"/>
        </w:rPr>
        <w:t>The patient had regular DH recall alio loco. At the last recall, peri-implantitis around implant 12 was diagnosed and the patient experienced mild pain</w:t>
      </w:r>
      <w:r w:rsidR="007E587C" w:rsidRPr="00190009">
        <w:rPr>
          <w:rFonts w:ascii="Calibri" w:hAnsi="Calibri"/>
          <w:lang w:val="en-US"/>
        </w:rPr>
        <w:t xml:space="preserve">. Radiological </w:t>
      </w:r>
      <w:r w:rsidRPr="00190009">
        <w:rPr>
          <w:rFonts w:ascii="Calibri" w:hAnsi="Calibri"/>
          <w:lang w:val="en-US"/>
        </w:rPr>
        <w:t xml:space="preserve">examination </w:t>
      </w:r>
      <w:r w:rsidR="007E587C" w:rsidRPr="00190009">
        <w:rPr>
          <w:rFonts w:ascii="Calibri" w:hAnsi="Calibri"/>
          <w:lang w:val="en-US"/>
        </w:rPr>
        <w:t xml:space="preserve">showed </w:t>
      </w:r>
      <w:r w:rsidR="00C82537" w:rsidRPr="00190009">
        <w:rPr>
          <w:rFonts w:ascii="Calibri" w:hAnsi="Calibri"/>
          <w:lang w:val="en-US"/>
        </w:rPr>
        <w:t xml:space="preserve">significant bone resorption mesial to </w:t>
      </w:r>
      <w:r w:rsidR="007E587C" w:rsidRPr="00190009">
        <w:rPr>
          <w:rFonts w:ascii="Calibri" w:hAnsi="Calibri"/>
          <w:lang w:val="en-US"/>
        </w:rPr>
        <w:t xml:space="preserve">implant 12 (Fig. 3). Clinically, the </w:t>
      </w:r>
      <w:r w:rsidR="00DC5581" w:rsidRPr="00190009">
        <w:rPr>
          <w:rFonts w:ascii="Calibri" w:hAnsi="Calibri"/>
          <w:lang w:val="en-US"/>
        </w:rPr>
        <w:t xml:space="preserve">probing depth was </w:t>
      </w:r>
      <w:r w:rsidR="007E587C" w:rsidRPr="00190009">
        <w:rPr>
          <w:rFonts w:ascii="Calibri" w:hAnsi="Calibri"/>
          <w:lang w:val="en-US"/>
        </w:rPr>
        <w:t xml:space="preserve">7 mm with positive probing bleeding </w:t>
      </w:r>
      <w:r w:rsidR="00DC5581" w:rsidRPr="00190009">
        <w:rPr>
          <w:rFonts w:ascii="Calibri" w:hAnsi="Calibri"/>
          <w:lang w:val="en-US"/>
        </w:rPr>
        <w:t xml:space="preserve">and little pus leakage </w:t>
      </w:r>
      <w:r w:rsidR="004F0C5B" w:rsidRPr="00190009">
        <w:rPr>
          <w:rFonts w:ascii="Calibri" w:hAnsi="Calibri"/>
          <w:lang w:val="en-US"/>
        </w:rPr>
        <w:t>(Fig. 4)</w:t>
      </w:r>
      <w:r w:rsidR="007E587C" w:rsidRPr="00190009">
        <w:rPr>
          <w:rFonts w:ascii="Calibri" w:hAnsi="Calibri"/>
          <w:lang w:val="en-US"/>
        </w:rPr>
        <w:t xml:space="preserve">. </w:t>
      </w:r>
    </w:p>
    <w:p w14:paraId="32670560" w14:textId="77777777" w:rsidR="004F0C5B" w:rsidRPr="00190009" w:rsidRDefault="004F0C5B" w:rsidP="00E85112">
      <w:pPr>
        <w:rPr>
          <w:rFonts w:ascii="Calibri" w:hAnsi="Calibri"/>
          <w:lang w:val="en-US"/>
        </w:rPr>
      </w:pPr>
    </w:p>
    <w:p w14:paraId="35460639" w14:textId="77777777" w:rsidR="004F0C5B" w:rsidRPr="00190009" w:rsidRDefault="004F0C5B" w:rsidP="00E85112">
      <w:pPr>
        <w:rPr>
          <w:rFonts w:ascii="Calibri" w:hAnsi="Calibri"/>
          <w:lang w:val="en-US"/>
        </w:rPr>
      </w:pPr>
    </w:p>
    <w:p w14:paraId="5A698415" w14:textId="77777777" w:rsidR="00DB1D4F" w:rsidRPr="00190009" w:rsidRDefault="00D70A8D">
      <w:pPr>
        <w:rPr>
          <w:rFonts w:ascii="Calibri" w:hAnsi="Calibri"/>
          <w:lang w:val="en-US"/>
        </w:rPr>
      </w:pPr>
      <w:r w:rsidRPr="00190009">
        <w:rPr>
          <w:rFonts w:ascii="Calibri" w:hAnsi="Calibri"/>
          <w:lang w:val="en-US"/>
        </w:rPr>
        <w:t xml:space="preserve">The treatment plan included a </w:t>
      </w:r>
      <w:r w:rsidR="00D37AE9" w:rsidRPr="00190009">
        <w:rPr>
          <w:rFonts w:ascii="Calibri" w:hAnsi="Calibri"/>
          <w:lang w:val="en-US"/>
        </w:rPr>
        <w:t xml:space="preserve">single, </w:t>
      </w:r>
      <w:r w:rsidR="00504608" w:rsidRPr="00190009">
        <w:rPr>
          <w:rFonts w:ascii="Calibri" w:hAnsi="Calibri"/>
          <w:lang w:val="en-US"/>
        </w:rPr>
        <w:t xml:space="preserve">non-surgical </w:t>
      </w:r>
      <w:r w:rsidR="00A53608" w:rsidRPr="00190009">
        <w:rPr>
          <w:rFonts w:ascii="Calibri" w:hAnsi="Calibri"/>
          <w:lang w:val="en-US"/>
        </w:rPr>
        <w:t xml:space="preserve">mechanical cleaning of the pocket </w:t>
      </w:r>
      <w:r w:rsidR="00D37AE9" w:rsidRPr="00190009">
        <w:rPr>
          <w:rFonts w:ascii="Calibri" w:hAnsi="Calibri"/>
          <w:lang w:val="en-US"/>
        </w:rPr>
        <w:t xml:space="preserve">supported by the Clean </w:t>
      </w:r>
      <w:r w:rsidR="00534A66" w:rsidRPr="00190009">
        <w:rPr>
          <w:rFonts w:ascii="Calibri" w:hAnsi="Calibri"/>
          <w:lang w:val="en-US"/>
        </w:rPr>
        <w:t xml:space="preserve">&amp; </w:t>
      </w:r>
      <w:r w:rsidR="00D37AE9" w:rsidRPr="00190009">
        <w:rPr>
          <w:rFonts w:ascii="Calibri" w:hAnsi="Calibri"/>
          <w:lang w:val="en-US"/>
        </w:rPr>
        <w:t xml:space="preserve">Seal concept: </w:t>
      </w:r>
      <w:r w:rsidR="000E6EFB" w:rsidRPr="00190009">
        <w:rPr>
          <w:rFonts w:ascii="Calibri" w:hAnsi="Calibri"/>
          <w:lang w:val="en-US"/>
        </w:rPr>
        <w:t xml:space="preserve">Hypochlorite cleaning gel </w:t>
      </w:r>
      <w:r w:rsidR="003364D3" w:rsidRPr="00190009">
        <w:rPr>
          <w:rFonts w:ascii="Calibri" w:hAnsi="Calibri"/>
          <w:lang w:val="en-US"/>
        </w:rPr>
        <w:t xml:space="preserve">(Perisolv, REGEDENT GmbH) </w:t>
      </w:r>
      <w:r w:rsidR="00504608" w:rsidRPr="00190009">
        <w:rPr>
          <w:rFonts w:ascii="Calibri" w:hAnsi="Calibri"/>
          <w:lang w:val="en-US"/>
        </w:rPr>
        <w:t xml:space="preserve">and sealing of the pocket with cross-linked hyaluronic acid </w:t>
      </w:r>
      <w:r w:rsidR="003364D3" w:rsidRPr="00190009">
        <w:rPr>
          <w:rFonts w:ascii="Calibri" w:hAnsi="Calibri"/>
          <w:lang w:val="en-US"/>
        </w:rPr>
        <w:t xml:space="preserve">(Hyadent </w:t>
      </w:r>
      <w:r w:rsidR="006D3D97" w:rsidRPr="00190009">
        <w:rPr>
          <w:rFonts w:ascii="Calibri" w:hAnsi="Calibri"/>
          <w:lang w:val="en-US"/>
        </w:rPr>
        <w:t>BG</w:t>
      </w:r>
      <w:r w:rsidR="000E6EFB" w:rsidRPr="00190009">
        <w:rPr>
          <w:rFonts w:ascii="Calibri" w:hAnsi="Calibri"/>
          <w:lang w:val="en-US"/>
        </w:rPr>
        <w:t>, REGEDENT GmbH)</w:t>
      </w:r>
      <w:r w:rsidR="00B5067F" w:rsidRPr="00190009">
        <w:rPr>
          <w:rFonts w:ascii="Calibri" w:hAnsi="Calibri"/>
          <w:lang w:val="en-US"/>
        </w:rPr>
        <w:t xml:space="preserve">. </w:t>
      </w:r>
    </w:p>
    <w:p w14:paraId="1CFD0F7E" w14:textId="77777777" w:rsidR="00DB1D4F" w:rsidRPr="00190009" w:rsidRDefault="00D70A8D">
      <w:pPr>
        <w:rPr>
          <w:rFonts w:ascii="Calibri" w:hAnsi="Calibri"/>
          <w:lang w:val="en-US"/>
        </w:rPr>
      </w:pPr>
      <w:r w:rsidRPr="00190009">
        <w:rPr>
          <w:rFonts w:ascii="Calibri" w:hAnsi="Calibri"/>
          <w:lang w:val="en-US"/>
        </w:rPr>
        <w:t xml:space="preserve">First, the </w:t>
      </w:r>
      <w:r w:rsidR="004F0C5B" w:rsidRPr="00190009">
        <w:rPr>
          <w:rFonts w:ascii="Calibri" w:hAnsi="Calibri"/>
          <w:lang w:val="en-US"/>
        </w:rPr>
        <w:t xml:space="preserve">crown </w:t>
      </w:r>
      <w:r w:rsidR="007636D4" w:rsidRPr="00190009">
        <w:rPr>
          <w:rFonts w:ascii="Calibri" w:hAnsi="Calibri"/>
          <w:lang w:val="en-US"/>
        </w:rPr>
        <w:t xml:space="preserve">around implant 11 </w:t>
      </w:r>
      <w:r w:rsidRPr="00190009">
        <w:rPr>
          <w:rFonts w:ascii="Calibri" w:hAnsi="Calibri"/>
          <w:lang w:val="en-US"/>
        </w:rPr>
        <w:t xml:space="preserve">was removed to </w:t>
      </w:r>
      <w:r w:rsidR="004F0C5B" w:rsidRPr="00190009">
        <w:rPr>
          <w:rFonts w:ascii="Calibri" w:hAnsi="Calibri"/>
          <w:lang w:val="en-US"/>
        </w:rPr>
        <w:t xml:space="preserve">facilitate access to </w:t>
      </w:r>
      <w:r w:rsidR="000E6EFB" w:rsidRPr="00190009">
        <w:rPr>
          <w:rFonts w:ascii="Calibri" w:hAnsi="Calibri"/>
          <w:lang w:val="en-US"/>
        </w:rPr>
        <w:t xml:space="preserve">the defect. </w:t>
      </w:r>
      <w:r w:rsidRPr="00190009">
        <w:rPr>
          <w:rFonts w:ascii="Calibri" w:hAnsi="Calibri"/>
          <w:lang w:val="en-US"/>
        </w:rPr>
        <w:t xml:space="preserve">Fig. 5 shows </w:t>
      </w:r>
      <w:r w:rsidR="00534A66" w:rsidRPr="00190009">
        <w:rPr>
          <w:rFonts w:ascii="Calibri" w:hAnsi="Calibri"/>
          <w:lang w:val="en-US"/>
        </w:rPr>
        <w:t>the clinical picture after removal of the crown</w:t>
      </w:r>
      <w:r w:rsidR="00A53608" w:rsidRPr="00190009">
        <w:rPr>
          <w:rFonts w:ascii="Calibri" w:hAnsi="Calibri"/>
          <w:lang w:val="en-US"/>
        </w:rPr>
        <w:t xml:space="preserve">, </w:t>
      </w:r>
      <w:r w:rsidRPr="00190009">
        <w:rPr>
          <w:rFonts w:ascii="Calibri" w:hAnsi="Calibri"/>
          <w:lang w:val="en-US"/>
        </w:rPr>
        <w:t>with pus discharge as a sign of acute infection.</w:t>
      </w:r>
    </w:p>
    <w:p w14:paraId="334823E6" w14:textId="77777777" w:rsidR="00DB1D4F" w:rsidRPr="00190009" w:rsidRDefault="00D70A8D">
      <w:pPr>
        <w:rPr>
          <w:rFonts w:ascii="Calibri" w:hAnsi="Calibri"/>
          <w:lang w:val="en-US"/>
        </w:rPr>
      </w:pPr>
      <w:r w:rsidRPr="00190009">
        <w:rPr>
          <w:rFonts w:ascii="Calibri" w:hAnsi="Calibri"/>
          <w:lang w:val="en-US"/>
        </w:rPr>
        <w:t>Implant treatment was performed under local anesthesia.</w:t>
      </w:r>
    </w:p>
    <w:p w14:paraId="71960133" w14:textId="77777777" w:rsidR="00DB1D4F" w:rsidRPr="00190009" w:rsidRDefault="00D70A8D">
      <w:pPr>
        <w:rPr>
          <w:rFonts w:ascii="Calibri" w:hAnsi="Calibri"/>
          <w:lang w:val="en-US"/>
        </w:rPr>
      </w:pPr>
      <w:r w:rsidRPr="00190009">
        <w:rPr>
          <w:rFonts w:ascii="Calibri" w:hAnsi="Calibri"/>
          <w:lang w:val="en-US"/>
        </w:rPr>
        <w:t xml:space="preserve">First, the hypochlorite preparation was prepared by </w:t>
      </w:r>
      <w:r w:rsidR="003307B4" w:rsidRPr="00190009">
        <w:rPr>
          <w:rFonts w:ascii="Calibri" w:hAnsi="Calibri"/>
          <w:lang w:val="en-US"/>
        </w:rPr>
        <w:t xml:space="preserve">mixing </w:t>
      </w:r>
      <w:r w:rsidRPr="00190009">
        <w:rPr>
          <w:rFonts w:ascii="Calibri" w:hAnsi="Calibri"/>
          <w:lang w:val="en-US"/>
        </w:rPr>
        <w:t>the two components (Fig. 6).</w:t>
      </w:r>
    </w:p>
    <w:p w14:paraId="22B8E8C8" w14:textId="7F2D2394" w:rsidR="00DB1D4F" w:rsidRPr="00190009" w:rsidRDefault="00D70A8D">
      <w:pPr>
        <w:rPr>
          <w:rFonts w:ascii="Calibri" w:hAnsi="Calibri"/>
          <w:lang w:val="en-US"/>
        </w:rPr>
      </w:pPr>
      <w:r w:rsidRPr="00190009">
        <w:rPr>
          <w:rFonts w:ascii="Calibri" w:hAnsi="Calibri"/>
          <w:lang w:val="en-US"/>
        </w:rPr>
        <w:t>First, the pocket was rinsed well with H</w:t>
      </w:r>
      <w:r w:rsidR="00190009" w:rsidRPr="00190009">
        <w:rPr>
          <w:rFonts w:ascii="Calibri" w:hAnsi="Calibri"/>
          <w:vertAlign w:val="subscript"/>
          <w:lang w:val="en-US"/>
        </w:rPr>
        <w:t>2</w:t>
      </w:r>
      <w:r w:rsidRPr="00190009">
        <w:rPr>
          <w:rFonts w:ascii="Calibri" w:hAnsi="Calibri"/>
          <w:lang w:val="en-US"/>
        </w:rPr>
        <w:t xml:space="preserve"> O</w:t>
      </w:r>
      <w:r w:rsidRPr="00190009">
        <w:rPr>
          <w:rFonts w:ascii="Calibri" w:hAnsi="Calibri"/>
          <w:vertAlign w:val="subscript"/>
          <w:lang w:val="en-US"/>
        </w:rPr>
        <w:t>2</w:t>
      </w:r>
      <w:r w:rsidR="00A53608" w:rsidRPr="00190009">
        <w:rPr>
          <w:rFonts w:ascii="Calibri" w:hAnsi="Calibri"/>
          <w:lang w:val="en-US"/>
        </w:rPr>
        <w:t xml:space="preserve"> (3%</w:t>
      </w:r>
      <w:r w:rsidRPr="00190009">
        <w:rPr>
          <w:rFonts w:ascii="Calibri" w:hAnsi="Calibri"/>
          <w:lang w:val="en-US"/>
        </w:rPr>
        <w:t xml:space="preserve">) and Ringer's solution, and </w:t>
      </w:r>
      <w:r w:rsidR="008E7102" w:rsidRPr="00190009">
        <w:rPr>
          <w:rFonts w:ascii="Calibri" w:hAnsi="Calibri"/>
          <w:lang w:val="en-US"/>
        </w:rPr>
        <w:t xml:space="preserve">the debris was </w:t>
      </w:r>
      <w:r w:rsidRPr="00190009">
        <w:rPr>
          <w:rFonts w:ascii="Calibri" w:hAnsi="Calibri"/>
          <w:lang w:val="en-US"/>
        </w:rPr>
        <w:t xml:space="preserve">removed </w:t>
      </w:r>
      <w:r w:rsidR="008E7102" w:rsidRPr="00190009">
        <w:rPr>
          <w:rFonts w:ascii="Calibri" w:hAnsi="Calibri"/>
          <w:lang w:val="en-US"/>
        </w:rPr>
        <w:t xml:space="preserve">with a titanium curette. </w:t>
      </w:r>
      <w:r w:rsidRPr="00190009">
        <w:rPr>
          <w:rFonts w:ascii="Calibri" w:hAnsi="Calibri"/>
          <w:lang w:val="en-US"/>
        </w:rPr>
        <w:t xml:space="preserve">Then, </w:t>
      </w:r>
      <w:r w:rsidR="008E7102" w:rsidRPr="00190009">
        <w:rPr>
          <w:rFonts w:ascii="Calibri" w:hAnsi="Calibri"/>
          <w:lang w:val="en-US"/>
        </w:rPr>
        <w:t xml:space="preserve">a </w:t>
      </w:r>
      <w:r w:rsidRPr="00190009">
        <w:rPr>
          <w:rFonts w:ascii="Calibri" w:hAnsi="Calibri"/>
          <w:lang w:val="en-US"/>
        </w:rPr>
        <w:t xml:space="preserve">little </w:t>
      </w:r>
      <w:r w:rsidR="00A53608" w:rsidRPr="00190009">
        <w:rPr>
          <w:rFonts w:ascii="Calibri" w:hAnsi="Calibri"/>
          <w:lang w:val="en-US"/>
        </w:rPr>
        <w:t xml:space="preserve">Perisolv gel was applied </w:t>
      </w:r>
      <w:r w:rsidRPr="00190009">
        <w:rPr>
          <w:rFonts w:ascii="Calibri" w:hAnsi="Calibri"/>
          <w:lang w:val="en-US"/>
        </w:rPr>
        <w:t xml:space="preserve">several times </w:t>
      </w:r>
      <w:r w:rsidR="00A53608" w:rsidRPr="00190009">
        <w:rPr>
          <w:rFonts w:ascii="Calibri" w:hAnsi="Calibri"/>
          <w:lang w:val="en-US"/>
        </w:rPr>
        <w:t xml:space="preserve">and </w:t>
      </w:r>
      <w:r w:rsidR="00DE04B3" w:rsidRPr="00190009">
        <w:rPr>
          <w:rFonts w:ascii="Calibri" w:hAnsi="Calibri"/>
          <w:lang w:val="en-US"/>
        </w:rPr>
        <w:t xml:space="preserve">left to </w:t>
      </w:r>
      <w:r w:rsidRPr="00190009">
        <w:rPr>
          <w:rFonts w:ascii="Calibri" w:hAnsi="Calibri"/>
          <w:lang w:val="en-US"/>
        </w:rPr>
        <w:t xml:space="preserve">act for 30 </w:t>
      </w:r>
      <w:r w:rsidR="00534A66" w:rsidRPr="00190009">
        <w:rPr>
          <w:rFonts w:ascii="Calibri" w:hAnsi="Calibri"/>
          <w:lang w:val="en-US"/>
        </w:rPr>
        <w:t xml:space="preserve">sec. The </w:t>
      </w:r>
      <w:r w:rsidR="00DE04B3" w:rsidRPr="00190009">
        <w:rPr>
          <w:rFonts w:ascii="Calibri" w:hAnsi="Calibri"/>
          <w:lang w:val="en-US"/>
        </w:rPr>
        <w:t xml:space="preserve">curette was </w:t>
      </w:r>
      <w:r w:rsidRPr="00190009">
        <w:rPr>
          <w:rFonts w:ascii="Calibri" w:hAnsi="Calibri"/>
          <w:lang w:val="en-US"/>
        </w:rPr>
        <w:t xml:space="preserve">then </w:t>
      </w:r>
      <w:r w:rsidR="00DE04B3" w:rsidRPr="00190009">
        <w:rPr>
          <w:rFonts w:ascii="Calibri" w:hAnsi="Calibri"/>
          <w:lang w:val="en-US"/>
        </w:rPr>
        <w:t xml:space="preserve">used to mechanically </w:t>
      </w:r>
      <w:r w:rsidR="00A53608" w:rsidRPr="00190009">
        <w:rPr>
          <w:rFonts w:ascii="Calibri" w:hAnsi="Calibri"/>
          <w:lang w:val="en-US"/>
        </w:rPr>
        <w:t xml:space="preserve">remove the </w:t>
      </w:r>
      <w:r w:rsidR="00DE04B3" w:rsidRPr="00190009">
        <w:rPr>
          <w:rFonts w:ascii="Calibri" w:hAnsi="Calibri"/>
          <w:lang w:val="en-US"/>
        </w:rPr>
        <w:t xml:space="preserve">dissolved biofilm from the </w:t>
      </w:r>
      <w:r w:rsidRPr="00190009">
        <w:rPr>
          <w:rFonts w:ascii="Calibri" w:hAnsi="Calibri"/>
          <w:lang w:val="en-US"/>
        </w:rPr>
        <w:t xml:space="preserve">implant surface </w:t>
      </w:r>
      <w:r w:rsidR="00A53608" w:rsidRPr="00190009">
        <w:rPr>
          <w:rFonts w:ascii="Calibri" w:hAnsi="Calibri"/>
          <w:lang w:val="en-US"/>
        </w:rPr>
        <w:t xml:space="preserve">(decontamination) and to </w:t>
      </w:r>
      <w:r w:rsidR="00DE04B3" w:rsidRPr="00190009">
        <w:rPr>
          <w:rFonts w:ascii="Calibri" w:hAnsi="Calibri"/>
          <w:lang w:val="en-US"/>
        </w:rPr>
        <w:t>separate and remove the gradually loosening granulation tissue from the native connective tissue of the pocket.</w:t>
      </w:r>
    </w:p>
    <w:p w14:paraId="2AC6FFD3" w14:textId="77777777" w:rsidR="00DB1D4F" w:rsidRPr="00190009" w:rsidRDefault="00D70A8D">
      <w:pPr>
        <w:rPr>
          <w:rFonts w:ascii="Calibri" w:hAnsi="Calibri" w:cs="Arial"/>
          <w:bCs/>
          <w:lang w:val="en-US"/>
        </w:rPr>
      </w:pPr>
      <w:r w:rsidRPr="00190009">
        <w:rPr>
          <w:rFonts w:ascii="Calibri" w:hAnsi="Calibri"/>
          <w:lang w:val="en-US"/>
        </w:rPr>
        <w:t xml:space="preserve">After 3-4 applications, </w:t>
      </w:r>
      <w:r w:rsidR="00656180" w:rsidRPr="00190009">
        <w:rPr>
          <w:rFonts w:ascii="Calibri" w:hAnsi="Calibri"/>
          <w:lang w:val="en-US"/>
        </w:rPr>
        <w:t>the</w:t>
      </w:r>
      <w:r w:rsidRPr="00190009">
        <w:rPr>
          <w:rFonts w:ascii="Calibri" w:hAnsi="Calibri"/>
          <w:lang w:val="en-US"/>
        </w:rPr>
        <w:t xml:space="preserve"> granulation tissue </w:t>
      </w:r>
      <w:r w:rsidR="00DE04B3" w:rsidRPr="00190009">
        <w:rPr>
          <w:rFonts w:ascii="Calibri" w:hAnsi="Calibri"/>
          <w:lang w:val="en-US"/>
        </w:rPr>
        <w:t xml:space="preserve">can be gradually removed in a visually controllable manner </w:t>
      </w:r>
      <w:r w:rsidRPr="00190009">
        <w:rPr>
          <w:rFonts w:ascii="Calibri" w:hAnsi="Calibri"/>
          <w:lang w:val="en-US"/>
        </w:rPr>
        <w:t xml:space="preserve">(Fig. 7-8). </w:t>
      </w:r>
    </w:p>
    <w:p w14:paraId="2F50F9DA" w14:textId="77777777" w:rsidR="00DB1D4F" w:rsidRPr="00190009" w:rsidRDefault="00DE04B3">
      <w:pPr>
        <w:rPr>
          <w:rFonts w:ascii="Calibri" w:hAnsi="Calibri"/>
          <w:lang w:val="en-US"/>
        </w:rPr>
      </w:pPr>
      <w:r w:rsidRPr="00190009">
        <w:rPr>
          <w:rFonts w:ascii="Calibri" w:hAnsi="Calibri"/>
          <w:lang w:val="en-US"/>
        </w:rPr>
        <w:t xml:space="preserve">In this case, after 6-7 applications, the granulation tissue appeared to be quite completely removed and the defect also no longer showed any bleeding </w:t>
      </w:r>
      <w:r w:rsidR="00656180" w:rsidRPr="00190009">
        <w:rPr>
          <w:rFonts w:ascii="Calibri" w:hAnsi="Calibri"/>
          <w:lang w:val="en-US"/>
        </w:rPr>
        <w:t xml:space="preserve">(Fig. </w:t>
      </w:r>
      <w:r w:rsidR="00861290" w:rsidRPr="00190009">
        <w:rPr>
          <w:rFonts w:ascii="Calibri" w:hAnsi="Calibri"/>
          <w:lang w:val="en-US"/>
        </w:rPr>
        <w:t>9</w:t>
      </w:r>
      <w:r w:rsidR="00656180" w:rsidRPr="00190009">
        <w:rPr>
          <w:rFonts w:ascii="Calibri" w:hAnsi="Calibri"/>
          <w:lang w:val="en-US"/>
        </w:rPr>
        <w:t>)</w:t>
      </w:r>
      <w:r w:rsidR="00164209" w:rsidRPr="00190009">
        <w:rPr>
          <w:rFonts w:ascii="Calibri" w:hAnsi="Calibri"/>
          <w:lang w:val="en-US"/>
        </w:rPr>
        <w:t xml:space="preserve">. </w:t>
      </w:r>
    </w:p>
    <w:p w14:paraId="508DDC83" w14:textId="783CC34A" w:rsidR="00DB1D4F" w:rsidRPr="00190009" w:rsidRDefault="00D70A8D">
      <w:pPr>
        <w:rPr>
          <w:rFonts w:ascii="Calibri" w:hAnsi="Calibri" w:cs="Arial"/>
          <w:bCs/>
          <w:lang w:val="en-US"/>
        </w:rPr>
      </w:pPr>
      <w:r w:rsidRPr="00190009">
        <w:rPr>
          <w:rFonts w:ascii="Calibri" w:hAnsi="Calibri"/>
          <w:lang w:val="en-US"/>
        </w:rPr>
        <w:t>The pocket was then irrigated with H</w:t>
      </w:r>
      <w:r w:rsidR="00190009" w:rsidRPr="00190009">
        <w:rPr>
          <w:rFonts w:ascii="Calibri" w:hAnsi="Calibri"/>
          <w:vertAlign w:val="subscript"/>
          <w:lang w:val="en-US"/>
        </w:rPr>
        <w:t>2</w:t>
      </w:r>
      <w:r w:rsidRPr="00190009">
        <w:rPr>
          <w:rFonts w:ascii="Calibri" w:hAnsi="Calibri"/>
          <w:lang w:val="en-US"/>
        </w:rPr>
        <w:t xml:space="preserve"> O</w:t>
      </w:r>
      <w:r w:rsidRPr="00190009">
        <w:rPr>
          <w:rFonts w:ascii="Calibri" w:hAnsi="Calibri"/>
          <w:vertAlign w:val="subscript"/>
          <w:lang w:val="en-US"/>
        </w:rPr>
        <w:t>2</w:t>
      </w:r>
      <w:r w:rsidRPr="00190009">
        <w:rPr>
          <w:rFonts w:ascii="Calibri" w:hAnsi="Calibri"/>
          <w:lang w:val="en-US"/>
        </w:rPr>
        <w:t xml:space="preserve"> and Ringer's solution. </w:t>
      </w:r>
      <w:r w:rsidR="00135CBC" w:rsidRPr="00190009">
        <w:rPr>
          <w:rFonts w:ascii="Calibri" w:hAnsi="Calibri"/>
          <w:lang w:val="en-US"/>
        </w:rPr>
        <w:t xml:space="preserve">Finally, </w:t>
      </w:r>
      <w:r w:rsidRPr="00190009">
        <w:rPr>
          <w:rFonts w:ascii="Calibri" w:hAnsi="Calibri" w:cs="Arial"/>
          <w:bCs/>
          <w:lang w:val="en-US"/>
        </w:rPr>
        <w:t>cross-linked hyaluronic acid (</w:t>
      </w:r>
      <w:r w:rsidR="00135CBC" w:rsidRPr="00190009">
        <w:rPr>
          <w:rFonts w:ascii="Calibri" w:hAnsi="Calibri" w:cs="Arial"/>
          <w:bCs/>
          <w:lang w:val="en-US"/>
        </w:rPr>
        <w:t xml:space="preserve">Hyadent </w:t>
      </w:r>
      <w:r w:rsidRPr="00190009">
        <w:rPr>
          <w:rFonts w:ascii="Calibri" w:hAnsi="Calibri" w:cs="Arial"/>
          <w:bCs/>
          <w:lang w:val="en-US"/>
        </w:rPr>
        <w:t xml:space="preserve">BG, REGEDENT GmbH, Fig. </w:t>
      </w:r>
      <w:r w:rsidR="00861290" w:rsidRPr="00190009">
        <w:rPr>
          <w:rFonts w:ascii="Calibri" w:hAnsi="Calibri" w:cs="Arial"/>
          <w:bCs/>
          <w:lang w:val="en-US"/>
        </w:rPr>
        <w:t>10</w:t>
      </w:r>
      <w:r w:rsidRPr="00190009">
        <w:rPr>
          <w:rFonts w:ascii="Calibri" w:hAnsi="Calibri" w:cs="Arial"/>
          <w:bCs/>
          <w:lang w:val="en-US"/>
        </w:rPr>
        <w:t xml:space="preserve">) was placed in the pocket to seal the wound and improve wound and tissue healing. (not shown). </w:t>
      </w:r>
      <w:r w:rsidR="008F358B" w:rsidRPr="00190009">
        <w:rPr>
          <w:rFonts w:ascii="Calibri" w:hAnsi="Calibri"/>
          <w:lang w:val="en-US"/>
        </w:rPr>
        <w:t xml:space="preserve">The crown was </w:t>
      </w:r>
      <w:r w:rsidR="00135CBC" w:rsidRPr="00190009">
        <w:rPr>
          <w:rFonts w:ascii="Calibri" w:hAnsi="Calibri"/>
          <w:lang w:val="en-US"/>
        </w:rPr>
        <w:t xml:space="preserve">screwed </w:t>
      </w:r>
      <w:r w:rsidR="008F358B" w:rsidRPr="00190009">
        <w:rPr>
          <w:rFonts w:ascii="Calibri" w:hAnsi="Calibri"/>
          <w:lang w:val="en-US"/>
        </w:rPr>
        <w:t>back in</w:t>
      </w:r>
      <w:r w:rsidR="00DE04B3" w:rsidRPr="00190009">
        <w:rPr>
          <w:rFonts w:ascii="Calibri" w:hAnsi="Calibri"/>
          <w:lang w:val="en-US"/>
        </w:rPr>
        <w:t>.</w:t>
      </w:r>
    </w:p>
    <w:p w14:paraId="6D516FE5" w14:textId="77777777" w:rsidR="00DB1D4F" w:rsidRPr="00190009" w:rsidRDefault="00D70A8D">
      <w:pPr>
        <w:rPr>
          <w:rFonts w:ascii="Calibri" w:hAnsi="Calibri"/>
          <w:lang w:val="en-US"/>
        </w:rPr>
      </w:pPr>
      <w:r w:rsidRPr="00190009">
        <w:rPr>
          <w:rFonts w:ascii="Calibri" w:hAnsi="Calibri"/>
          <w:lang w:val="en-US"/>
        </w:rPr>
        <w:t>For daily care after treatment, the patient was instructed as fol</w:t>
      </w:r>
      <w:r w:rsidRPr="00190009">
        <w:rPr>
          <w:rFonts w:ascii="Calibri" w:hAnsi="Calibri"/>
          <w:lang w:val="en-US"/>
        </w:rPr>
        <w:t xml:space="preserve">lows:  During the first week, toothbrushing and interdental cleaning around the implant should be avoided in order not to mechanically disturb </w:t>
      </w:r>
      <w:r w:rsidR="00656180" w:rsidRPr="00190009">
        <w:rPr>
          <w:rFonts w:ascii="Calibri" w:hAnsi="Calibri"/>
          <w:lang w:val="en-US"/>
        </w:rPr>
        <w:t xml:space="preserve">the stabilization of </w:t>
      </w:r>
      <w:r w:rsidRPr="00190009">
        <w:rPr>
          <w:rFonts w:ascii="Calibri" w:hAnsi="Calibri"/>
          <w:lang w:val="en-US"/>
        </w:rPr>
        <w:t xml:space="preserve">the blood coagulum in the pocket. To </w:t>
      </w:r>
      <w:r w:rsidR="008F358B" w:rsidRPr="00190009">
        <w:rPr>
          <w:rFonts w:ascii="Calibri" w:hAnsi="Calibri"/>
          <w:lang w:val="en-US"/>
        </w:rPr>
        <w:t xml:space="preserve">disinfect the wound area, </w:t>
      </w:r>
      <w:r w:rsidRPr="00190009">
        <w:rPr>
          <w:rFonts w:ascii="Calibri" w:hAnsi="Calibri"/>
          <w:lang w:val="en-US"/>
        </w:rPr>
        <w:t xml:space="preserve">rinse </w:t>
      </w:r>
      <w:r w:rsidR="008F358B" w:rsidRPr="00190009">
        <w:rPr>
          <w:rFonts w:ascii="Calibri" w:hAnsi="Calibri"/>
          <w:lang w:val="en-US"/>
        </w:rPr>
        <w:t xml:space="preserve">2-3 times daily with a </w:t>
      </w:r>
      <w:r w:rsidR="00135CBC" w:rsidRPr="00190009">
        <w:rPr>
          <w:rFonts w:ascii="Calibri" w:hAnsi="Calibri"/>
          <w:lang w:val="en-US"/>
        </w:rPr>
        <w:t>0.</w:t>
      </w:r>
      <w:r w:rsidR="008F358B" w:rsidRPr="00190009">
        <w:rPr>
          <w:rFonts w:ascii="Calibri" w:hAnsi="Calibri"/>
          <w:lang w:val="en-US"/>
        </w:rPr>
        <w:t xml:space="preserve">2% CHX solution.  </w:t>
      </w:r>
      <w:r w:rsidRPr="00190009">
        <w:rPr>
          <w:rFonts w:ascii="Calibri" w:hAnsi="Calibri"/>
          <w:lang w:val="en-US"/>
        </w:rPr>
        <w:t>In the second week, gentle cleaning is performed with a toothbrush, and from the third week onwards, interdental brushes are used again.</w:t>
      </w:r>
    </w:p>
    <w:p w14:paraId="683E8A04" w14:textId="77777777" w:rsidR="00DB1D4F" w:rsidRPr="00190009" w:rsidRDefault="00D70A8D">
      <w:pPr>
        <w:rPr>
          <w:rFonts w:ascii="Calibri" w:hAnsi="Calibri" w:cs="Arial"/>
          <w:bCs/>
          <w:lang w:val="en-US"/>
        </w:rPr>
      </w:pPr>
      <w:r w:rsidRPr="00190009">
        <w:rPr>
          <w:rFonts w:ascii="Calibri" w:hAnsi="Calibri"/>
          <w:lang w:val="en-US"/>
        </w:rPr>
        <w:t xml:space="preserve">The healing process was free of complications </w:t>
      </w:r>
      <w:r w:rsidR="00847F1B" w:rsidRPr="00190009">
        <w:rPr>
          <w:rFonts w:ascii="Calibri" w:hAnsi="Calibri"/>
          <w:lang w:val="en-US"/>
        </w:rPr>
        <w:t xml:space="preserve">and largely painless. </w:t>
      </w:r>
      <w:r w:rsidRPr="00190009">
        <w:rPr>
          <w:rFonts w:ascii="Calibri" w:hAnsi="Calibri"/>
          <w:lang w:val="en-US"/>
        </w:rPr>
        <w:t xml:space="preserve">Fig. </w:t>
      </w:r>
      <w:r w:rsidR="00861290" w:rsidRPr="00190009">
        <w:rPr>
          <w:rFonts w:ascii="Calibri" w:hAnsi="Calibri"/>
          <w:lang w:val="en-US"/>
        </w:rPr>
        <w:t xml:space="preserve">11 </w:t>
      </w:r>
      <w:r w:rsidRPr="00190009">
        <w:rPr>
          <w:rFonts w:ascii="Calibri" w:hAnsi="Calibri"/>
          <w:lang w:val="en-US"/>
        </w:rPr>
        <w:t xml:space="preserve">shows the situation at the follow-up appointment after 2 months. </w:t>
      </w:r>
      <w:r w:rsidR="00847F1B" w:rsidRPr="00190009">
        <w:rPr>
          <w:rFonts w:ascii="Calibri" w:hAnsi="Calibri"/>
          <w:lang w:val="en-US"/>
        </w:rPr>
        <w:t xml:space="preserve">The gingiva </w:t>
      </w:r>
      <w:r w:rsidRPr="00190009">
        <w:rPr>
          <w:rFonts w:ascii="Calibri" w:hAnsi="Calibri"/>
          <w:lang w:val="en-US"/>
        </w:rPr>
        <w:t xml:space="preserve">around implant 12 is </w:t>
      </w:r>
      <w:r w:rsidR="00847F1B" w:rsidRPr="00190009">
        <w:rPr>
          <w:rFonts w:ascii="Calibri" w:hAnsi="Calibri" w:cs="Arial"/>
          <w:bCs/>
          <w:lang w:val="en-US"/>
        </w:rPr>
        <w:t xml:space="preserve">clinically tight and </w:t>
      </w:r>
      <w:r w:rsidRPr="00190009">
        <w:rPr>
          <w:rFonts w:ascii="Calibri" w:hAnsi="Calibri" w:cs="Arial"/>
          <w:bCs/>
          <w:lang w:val="en-US"/>
        </w:rPr>
        <w:t>free of inflammation</w:t>
      </w:r>
      <w:r w:rsidR="00847F1B" w:rsidRPr="00190009">
        <w:rPr>
          <w:rFonts w:ascii="Calibri" w:hAnsi="Calibri" w:cs="Arial"/>
          <w:bCs/>
          <w:lang w:val="en-US"/>
        </w:rPr>
        <w:t xml:space="preserve">. In order not to impair the body's own </w:t>
      </w:r>
      <w:r w:rsidR="00656180" w:rsidRPr="00190009">
        <w:rPr>
          <w:rFonts w:ascii="Calibri" w:hAnsi="Calibri" w:cs="Arial"/>
          <w:bCs/>
          <w:lang w:val="en-US"/>
        </w:rPr>
        <w:t xml:space="preserve">potential for regeneration of the adjacent </w:t>
      </w:r>
      <w:r w:rsidR="00847F1B" w:rsidRPr="00190009">
        <w:rPr>
          <w:rFonts w:ascii="Calibri" w:hAnsi="Calibri" w:cs="Arial"/>
          <w:bCs/>
          <w:lang w:val="en-US"/>
        </w:rPr>
        <w:t xml:space="preserve">tissues, </w:t>
      </w:r>
      <w:r w:rsidR="00656180" w:rsidRPr="00190009">
        <w:rPr>
          <w:rFonts w:ascii="Calibri" w:hAnsi="Calibri" w:cs="Arial"/>
          <w:bCs/>
          <w:lang w:val="en-US"/>
        </w:rPr>
        <w:t>probing of the pocket is not performed for six months</w:t>
      </w:r>
      <w:r w:rsidR="00847F1B" w:rsidRPr="00190009">
        <w:rPr>
          <w:rFonts w:ascii="Calibri" w:hAnsi="Calibri" w:cs="Arial"/>
          <w:bCs/>
          <w:lang w:val="en-US"/>
        </w:rPr>
        <w:t xml:space="preserve">.  </w:t>
      </w:r>
      <w:r w:rsidRPr="00190009">
        <w:rPr>
          <w:rFonts w:ascii="Calibri" w:hAnsi="Calibri" w:cs="Arial"/>
          <w:bCs/>
          <w:lang w:val="en-US"/>
        </w:rPr>
        <w:t xml:space="preserve">Radiologically, there are </w:t>
      </w:r>
      <w:r w:rsidR="00BB5B7F" w:rsidRPr="00190009">
        <w:rPr>
          <w:rFonts w:ascii="Calibri" w:hAnsi="Calibri" w:cs="Arial"/>
          <w:bCs/>
          <w:lang w:val="en-US"/>
        </w:rPr>
        <w:t xml:space="preserve">already signs of incipient densification of </w:t>
      </w:r>
      <w:r w:rsidRPr="00190009">
        <w:rPr>
          <w:rFonts w:ascii="Calibri" w:hAnsi="Calibri" w:cs="Arial"/>
          <w:bCs/>
          <w:lang w:val="en-US"/>
        </w:rPr>
        <w:t xml:space="preserve">the </w:t>
      </w:r>
      <w:r w:rsidR="00BB5B7F" w:rsidRPr="00190009">
        <w:rPr>
          <w:rFonts w:ascii="Calibri" w:hAnsi="Calibri" w:cs="Arial"/>
          <w:bCs/>
          <w:lang w:val="en-US"/>
        </w:rPr>
        <w:t xml:space="preserve">marginal bone. </w:t>
      </w:r>
    </w:p>
    <w:p w14:paraId="4241B5F6" w14:textId="77777777" w:rsidR="00DB1D4F" w:rsidRPr="00190009" w:rsidRDefault="005E145D">
      <w:pPr>
        <w:rPr>
          <w:rFonts w:ascii="Calibri" w:hAnsi="Calibri"/>
          <w:lang w:val="en-US"/>
        </w:rPr>
      </w:pPr>
      <w:r w:rsidRPr="00190009">
        <w:rPr>
          <w:rFonts w:ascii="Calibri" w:hAnsi="Calibri" w:cs="Arial"/>
          <w:bCs/>
          <w:lang w:val="en-US"/>
        </w:rPr>
        <w:t xml:space="preserve">After </w:t>
      </w:r>
      <w:r w:rsidR="008F358B" w:rsidRPr="00190009">
        <w:rPr>
          <w:rFonts w:ascii="Calibri" w:hAnsi="Calibri" w:cs="Arial"/>
          <w:bCs/>
          <w:lang w:val="en-US"/>
        </w:rPr>
        <w:t xml:space="preserve">6 </w:t>
      </w:r>
      <w:r w:rsidRPr="00190009">
        <w:rPr>
          <w:rFonts w:ascii="Calibri" w:hAnsi="Calibri" w:cs="Arial"/>
          <w:bCs/>
          <w:lang w:val="en-US"/>
        </w:rPr>
        <w:t xml:space="preserve">months, the clinical findings of the soft tissues remain firm and </w:t>
      </w:r>
      <w:r w:rsidR="00656180" w:rsidRPr="00190009">
        <w:rPr>
          <w:rFonts w:ascii="Calibri" w:hAnsi="Calibri" w:cs="Arial"/>
          <w:bCs/>
          <w:lang w:val="en-US"/>
        </w:rPr>
        <w:t xml:space="preserve">free of inflammation </w:t>
      </w:r>
      <w:r w:rsidRPr="00190009">
        <w:rPr>
          <w:rFonts w:ascii="Calibri" w:hAnsi="Calibri" w:cs="Arial"/>
          <w:bCs/>
          <w:lang w:val="en-US"/>
        </w:rPr>
        <w:t xml:space="preserve">(Fig. </w:t>
      </w:r>
      <w:r w:rsidR="00861290" w:rsidRPr="00190009">
        <w:rPr>
          <w:rFonts w:ascii="Calibri" w:hAnsi="Calibri" w:cs="Arial"/>
          <w:bCs/>
          <w:lang w:val="en-US"/>
        </w:rPr>
        <w:t>13</w:t>
      </w:r>
      <w:r w:rsidRPr="00190009">
        <w:rPr>
          <w:rFonts w:ascii="Calibri" w:hAnsi="Calibri" w:cs="Arial"/>
          <w:bCs/>
          <w:lang w:val="en-US"/>
        </w:rPr>
        <w:t>). The radiograph shows advanced regeneration of the bone defect (Fig.</w:t>
      </w:r>
      <w:r w:rsidR="00861290" w:rsidRPr="00190009">
        <w:rPr>
          <w:rFonts w:ascii="Calibri" w:hAnsi="Calibri" w:cs="Arial"/>
          <w:bCs/>
          <w:lang w:val="en-US"/>
        </w:rPr>
        <w:t>14</w:t>
      </w:r>
      <w:r w:rsidRPr="00190009">
        <w:rPr>
          <w:rFonts w:ascii="Calibri" w:hAnsi="Calibri" w:cs="Arial"/>
          <w:bCs/>
          <w:lang w:val="en-US"/>
        </w:rPr>
        <w:t>).</w:t>
      </w:r>
    </w:p>
    <w:p w14:paraId="6DEE7788" w14:textId="77777777" w:rsidR="008F358B" w:rsidRPr="00190009" w:rsidRDefault="008F358B" w:rsidP="00E85112">
      <w:pPr>
        <w:rPr>
          <w:rFonts w:ascii="Calibri" w:hAnsi="Calibri"/>
          <w:lang w:val="en-US"/>
        </w:rPr>
      </w:pPr>
    </w:p>
    <w:p w14:paraId="706C7C16" w14:textId="77777777" w:rsidR="001A4073" w:rsidRPr="00190009" w:rsidRDefault="001A4073" w:rsidP="00297E42">
      <w:pPr>
        <w:rPr>
          <w:rFonts w:ascii="Calibri" w:hAnsi="Calibri" w:cs="Arial"/>
          <w:bCs/>
          <w:lang w:val="en-US"/>
        </w:rPr>
      </w:pPr>
    </w:p>
    <w:p w14:paraId="0CE1568D" w14:textId="77777777" w:rsidR="00DB1D4F" w:rsidRPr="00190009" w:rsidRDefault="00D70A8D">
      <w:pPr>
        <w:rPr>
          <w:rFonts w:ascii="Calibri" w:hAnsi="Calibri" w:cs="Arial"/>
          <w:bCs/>
          <w:sz w:val="28"/>
          <w:lang w:val="en-US"/>
        </w:rPr>
      </w:pPr>
      <w:r w:rsidRPr="00190009">
        <w:rPr>
          <w:rFonts w:ascii="Calibri" w:hAnsi="Calibri" w:cs="Arial"/>
          <w:bCs/>
          <w:sz w:val="28"/>
          <w:lang w:val="en-US"/>
        </w:rPr>
        <w:t>Summary</w:t>
      </w:r>
    </w:p>
    <w:p w14:paraId="3BC20AC2" w14:textId="77777777" w:rsidR="001A4073" w:rsidRPr="00190009" w:rsidRDefault="001A4073" w:rsidP="00297E42">
      <w:pPr>
        <w:rPr>
          <w:rFonts w:ascii="Calibri" w:hAnsi="Calibri" w:cs="Arial"/>
          <w:bCs/>
          <w:lang w:val="en-US"/>
        </w:rPr>
      </w:pPr>
    </w:p>
    <w:p w14:paraId="1E237C69" w14:textId="77777777" w:rsidR="00DB1D4F" w:rsidRPr="00190009" w:rsidRDefault="00D70A8D">
      <w:pPr>
        <w:rPr>
          <w:rFonts w:ascii="Calibri" w:hAnsi="Calibri" w:cs="Arial"/>
          <w:bCs/>
          <w:lang w:val="en-US"/>
        </w:rPr>
      </w:pPr>
      <w:r w:rsidRPr="00190009">
        <w:rPr>
          <w:rFonts w:ascii="Calibri" w:hAnsi="Calibri"/>
          <w:lang w:val="en-US"/>
        </w:rPr>
        <w:t xml:space="preserve">The combination of implant decontamination using a hypochlorite-based </w:t>
      </w:r>
      <w:r w:rsidR="004C47F7" w:rsidRPr="00190009">
        <w:rPr>
          <w:rFonts w:ascii="Calibri" w:hAnsi="Calibri"/>
          <w:lang w:val="en-US"/>
        </w:rPr>
        <w:t xml:space="preserve">cleaning gel </w:t>
      </w:r>
      <w:r w:rsidRPr="00190009">
        <w:rPr>
          <w:rFonts w:ascii="Calibri" w:hAnsi="Calibri"/>
          <w:lang w:val="en-US"/>
        </w:rPr>
        <w:t xml:space="preserve">and </w:t>
      </w:r>
      <w:r w:rsidR="004C47F7" w:rsidRPr="00190009">
        <w:rPr>
          <w:rFonts w:ascii="Calibri" w:hAnsi="Calibri"/>
          <w:lang w:val="en-US"/>
        </w:rPr>
        <w:t xml:space="preserve">"sealing" the cleaned pocket with cross-linked hyaluronic acid </w:t>
      </w:r>
      <w:r w:rsidR="00A53608" w:rsidRPr="00190009">
        <w:rPr>
          <w:rFonts w:ascii="Calibri" w:hAnsi="Calibri"/>
          <w:lang w:val="en-US"/>
        </w:rPr>
        <w:t xml:space="preserve">effectively improves the mechanical, non-surgical </w:t>
      </w:r>
      <w:r w:rsidRPr="00190009">
        <w:rPr>
          <w:rFonts w:ascii="Calibri" w:hAnsi="Calibri"/>
          <w:lang w:val="en-US"/>
        </w:rPr>
        <w:t xml:space="preserve">treatment of </w:t>
      </w:r>
      <w:r w:rsidR="004C47F7" w:rsidRPr="00190009">
        <w:rPr>
          <w:rFonts w:ascii="Calibri" w:hAnsi="Calibri" w:cs="Arial"/>
          <w:bCs/>
          <w:lang w:val="en-US"/>
        </w:rPr>
        <w:t xml:space="preserve">mucositis or </w:t>
      </w:r>
      <w:r w:rsidRPr="00190009">
        <w:rPr>
          <w:rFonts w:ascii="Calibri" w:hAnsi="Calibri" w:cs="Arial"/>
          <w:bCs/>
          <w:lang w:val="en-US"/>
        </w:rPr>
        <w:t>peri-implantitis therapy</w:t>
      </w:r>
      <w:r w:rsidR="00A53608" w:rsidRPr="00190009">
        <w:rPr>
          <w:rFonts w:ascii="Calibri" w:hAnsi="Calibri" w:cs="Arial"/>
          <w:bCs/>
          <w:lang w:val="en-US"/>
        </w:rPr>
        <w:t>.</w:t>
      </w:r>
    </w:p>
    <w:p w14:paraId="52688A01" w14:textId="77777777" w:rsidR="00DB1D4F" w:rsidRPr="00190009" w:rsidRDefault="00D70A8D">
      <w:pPr>
        <w:rPr>
          <w:rFonts w:ascii="Calibri" w:hAnsi="Calibri"/>
          <w:lang w:val="en-US"/>
        </w:rPr>
      </w:pPr>
      <w:r w:rsidRPr="00190009">
        <w:rPr>
          <w:rFonts w:ascii="Calibri" w:hAnsi="Calibri"/>
          <w:lang w:val="en-US"/>
        </w:rPr>
        <w:t>Without exception, all cases treated in this way in our practice to date have shown a marke</w:t>
      </w:r>
      <w:r w:rsidRPr="00190009">
        <w:rPr>
          <w:rFonts w:ascii="Calibri" w:hAnsi="Calibri"/>
          <w:lang w:val="en-US"/>
        </w:rPr>
        <w:t xml:space="preserve">d reduction in clinical inflammation and radiologically at least a tendency toward spontaneous bone </w:t>
      </w:r>
      <w:r w:rsidR="00154814" w:rsidRPr="00190009">
        <w:rPr>
          <w:rFonts w:ascii="Calibri" w:hAnsi="Calibri"/>
          <w:lang w:val="en-US"/>
        </w:rPr>
        <w:t>regeneration</w:t>
      </w:r>
      <w:r w:rsidRPr="00190009">
        <w:rPr>
          <w:rFonts w:ascii="Calibri" w:hAnsi="Calibri"/>
          <w:lang w:val="en-US"/>
        </w:rPr>
        <w:t xml:space="preserve">.     </w:t>
      </w:r>
      <w:r w:rsidR="000A02FB" w:rsidRPr="00190009">
        <w:rPr>
          <w:rFonts w:ascii="Calibri" w:hAnsi="Calibri"/>
          <w:lang w:val="en-US"/>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097"/>
      </w:tblGrid>
      <w:tr w:rsidR="007B2FBF" w:rsidRPr="00190009" w14:paraId="641504A3" w14:textId="77777777" w:rsidTr="002447EA">
        <w:tc>
          <w:tcPr>
            <w:tcW w:w="4531" w:type="dxa"/>
            <w:shd w:val="clear" w:color="auto" w:fill="auto"/>
          </w:tcPr>
          <w:p w14:paraId="0F833B9B" w14:textId="4A16B23F" w:rsidR="00EE349F" w:rsidRPr="00190009" w:rsidRDefault="001F2C9F">
            <w:pPr>
              <w:rPr>
                <w:rFonts w:ascii="Calibri" w:hAnsi="Calibri" w:cs="Arial"/>
                <w:b/>
                <w:bCs/>
                <w:sz w:val="28"/>
                <w:szCs w:val="28"/>
                <w:lang w:val="en-US"/>
              </w:rPr>
            </w:pPr>
            <w:r w:rsidRPr="00190009">
              <w:rPr>
                <w:noProof/>
                <w:lang w:val="en-US"/>
              </w:rPr>
              <w:drawing>
                <wp:inline distT="0" distB="0" distL="0" distR="0" wp14:anchorId="265E7BA4" wp14:editId="38986991">
                  <wp:extent cx="1600200" cy="2489200"/>
                  <wp:effectExtent l="0" t="0" r="0" b="0"/>
                  <wp:docPr id="1" name="Radovanovic-Ruzica-19710425-X-20121010-101911-XOKVFNE6YNRQ-1.JPG" descr="Radovanovic-Ruzica-19710425-X-20121010-101911-XOKVFNE6YNRQ-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ovanovic-Ruzica-19710425-X-20121010-101911-XOKVFNE6YNRQ-1.JPG" descr="Radovanovic-Ruzica-19710425-X-20121010-101911-XOKVFNE6YNRQ-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2489200"/>
                          </a:xfrm>
                          <a:prstGeom prst="rect">
                            <a:avLst/>
                          </a:prstGeom>
                          <a:noFill/>
                          <a:ln>
                            <a:noFill/>
                          </a:ln>
                        </pic:spPr>
                      </pic:pic>
                    </a:graphicData>
                  </a:graphic>
                </wp:inline>
              </w:drawing>
            </w:r>
            <w:r w:rsidRPr="00190009">
              <w:rPr>
                <w:rFonts w:ascii="Calibri" w:hAnsi="Calibri" w:cs="Arial"/>
                <w:b/>
                <w:noProof/>
                <w:sz w:val="28"/>
                <w:szCs w:val="28"/>
                <w:lang w:val="en-US"/>
              </w:rPr>
              <w:drawing>
                <wp:inline distT="0" distB="0" distL="0" distR="0" wp14:anchorId="11B9F742" wp14:editId="41CE8EFA">
                  <wp:extent cx="1574800" cy="2438400"/>
                  <wp:effectExtent l="0" t="0" r="0" b="0"/>
                  <wp:docPr id="2" name="Radovanovic-Ruzica-19710425-X-20180504-133519-XHMUABHOVGVC-1.JPG" descr="Radovanovic-Ruzica-19710425-X-20180504-133519-XHMUABHOVGV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ovanovic-Ruzica-19710425-X-20180504-133519-XHMUABHOVGVC-1.JPG" descr="Radovanovic-Ruzica-19710425-X-20180504-133519-XHMUABHOVGVC-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4800" cy="2438400"/>
                          </a:xfrm>
                          <a:prstGeom prst="rect">
                            <a:avLst/>
                          </a:prstGeom>
                          <a:noFill/>
                          <a:ln>
                            <a:noFill/>
                          </a:ln>
                        </pic:spPr>
                      </pic:pic>
                    </a:graphicData>
                  </a:graphic>
                </wp:inline>
              </w:drawing>
            </w:r>
          </w:p>
        </w:tc>
        <w:tc>
          <w:tcPr>
            <w:tcW w:w="5097" w:type="dxa"/>
            <w:shd w:val="clear" w:color="auto" w:fill="auto"/>
          </w:tcPr>
          <w:p w14:paraId="38926AB9" w14:textId="77777777" w:rsidR="00DB1D4F" w:rsidRPr="00190009" w:rsidRDefault="00D70A8D">
            <w:pPr>
              <w:rPr>
                <w:rFonts w:ascii="Calibri" w:hAnsi="Calibri" w:cs="Arial"/>
                <w:bCs/>
                <w:lang w:val="en-US"/>
              </w:rPr>
            </w:pPr>
            <w:r w:rsidRPr="00190009">
              <w:rPr>
                <w:rFonts w:ascii="Calibri" w:hAnsi="Calibri" w:cs="Arial"/>
                <w:bCs/>
                <w:lang w:val="en-US"/>
              </w:rPr>
              <w:t xml:space="preserve">Fig. </w:t>
            </w:r>
            <w:r w:rsidR="00E85112" w:rsidRPr="00190009">
              <w:rPr>
                <w:rFonts w:ascii="Calibri" w:hAnsi="Calibri" w:cs="Arial"/>
                <w:bCs/>
                <w:lang w:val="en-US"/>
              </w:rPr>
              <w:t>1/2</w:t>
            </w:r>
            <w:r w:rsidR="00EE349F" w:rsidRPr="00190009">
              <w:rPr>
                <w:rFonts w:ascii="Calibri" w:hAnsi="Calibri" w:cs="Arial"/>
                <w:bCs/>
                <w:lang w:val="en-US"/>
              </w:rPr>
              <w:t xml:space="preserve">: </w:t>
            </w:r>
            <w:r w:rsidR="00E85112" w:rsidRPr="00190009">
              <w:rPr>
                <w:rFonts w:ascii="Calibri" w:hAnsi="Calibri" w:cs="Arial"/>
                <w:bCs/>
                <w:lang w:val="en-US"/>
              </w:rPr>
              <w:t xml:space="preserve">Radiological image after implantation and after </w:t>
            </w:r>
            <w:r w:rsidR="00656180" w:rsidRPr="00190009">
              <w:rPr>
                <w:rFonts w:ascii="Calibri" w:hAnsi="Calibri" w:cs="Arial"/>
                <w:bCs/>
                <w:lang w:val="en-US"/>
              </w:rPr>
              <w:t xml:space="preserve">insertion of </w:t>
            </w:r>
            <w:r w:rsidR="00E85112" w:rsidRPr="00190009">
              <w:rPr>
                <w:rFonts w:ascii="Calibri" w:hAnsi="Calibri" w:cs="Arial"/>
                <w:bCs/>
                <w:lang w:val="en-US"/>
              </w:rPr>
              <w:t>the crown</w:t>
            </w:r>
            <w:r w:rsidR="00EE349F" w:rsidRPr="00190009">
              <w:rPr>
                <w:rFonts w:ascii="Calibri" w:hAnsi="Calibri" w:cs="Arial"/>
                <w:bCs/>
                <w:lang w:val="en-US"/>
              </w:rPr>
              <w:t>.</w:t>
            </w:r>
          </w:p>
        </w:tc>
      </w:tr>
      <w:tr w:rsidR="007B2FBF" w:rsidRPr="00190009" w14:paraId="59A3686D" w14:textId="77777777" w:rsidTr="002447EA">
        <w:tc>
          <w:tcPr>
            <w:tcW w:w="4531" w:type="dxa"/>
            <w:shd w:val="clear" w:color="auto" w:fill="auto"/>
          </w:tcPr>
          <w:p w14:paraId="155FBB5B" w14:textId="03CCA89C" w:rsidR="007B2FBF" w:rsidRPr="00190009" w:rsidRDefault="001F2C9F" w:rsidP="007B2FBF">
            <w:pPr>
              <w:rPr>
                <w:rFonts w:ascii="Calibri" w:hAnsi="Calibri" w:cs="Arial"/>
                <w:b/>
                <w:bCs/>
                <w:sz w:val="28"/>
                <w:szCs w:val="28"/>
                <w:lang w:val="en-US"/>
              </w:rPr>
            </w:pPr>
            <w:r w:rsidRPr="00190009">
              <w:rPr>
                <w:rFonts w:ascii="Calibri" w:hAnsi="Calibri" w:cs="Arial"/>
                <w:b/>
                <w:noProof/>
                <w:sz w:val="28"/>
                <w:szCs w:val="28"/>
                <w:lang w:val="en-US"/>
              </w:rPr>
              <w:drawing>
                <wp:inline distT="0" distB="0" distL="0" distR="0" wp14:anchorId="264F46B1" wp14:editId="6B99BBF5">
                  <wp:extent cx="1562100" cy="2374900"/>
                  <wp:effectExtent l="0" t="0" r="0" b="0"/>
                  <wp:docPr id="3" name="Radovanovic-Ruzica-19710425-X-20220301-095745-XLHLCDKU10LP-1.JPG" descr="Radovanovic-Ruzica-19710425-X-20220301-095745-XLHLCDKU10L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ovanovic-Ruzica-19710425-X-20220301-095745-XLHLCDKU10LP-1.JPG" descr="Radovanovic-Ruzica-19710425-X-20220301-095745-XLHLCDKU10LP-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2374900"/>
                          </a:xfrm>
                          <a:prstGeom prst="rect">
                            <a:avLst/>
                          </a:prstGeom>
                          <a:noFill/>
                          <a:ln>
                            <a:noFill/>
                          </a:ln>
                        </pic:spPr>
                      </pic:pic>
                    </a:graphicData>
                  </a:graphic>
                </wp:inline>
              </w:drawing>
            </w:r>
          </w:p>
        </w:tc>
        <w:tc>
          <w:tcPr>
            <w:tcW w:w="5097" w:type="dxa"/>
            <w:shd w:val="clear" w:color="auto" w:fill="auto"/>
          </w:tcPr>
          <w:p w14:paraId="14A3593E" w14:textId="77777777" w:rsidR="00DB1D4F" w:rsidRPr="00190009" w:rsidRDefault="00D70A8D">
            <w:pPr>
              <w:rPr>
                <w:rFonts w:ascii="Calibri" w:hAnsi="Calibri" w:cs="Arial"/>
                <w:bCs/>
                <w:lang w:val="en-US"/>
              </w:rPr>
            </w:pPr>
            <w:r w:rsidRPr="00190009">
              <w:rPr>
                <w:rFonts w:ascii="Calibri" w:hAnsi="Calibri" w:cs="Arial"/>
                <w:bCs/>
                <w:lang w:val="en-US"/>
              </w:rPr>
              <w:t xml:space="preserve">Fig. </w:t>
            </w:r>
            <w:r w:rsidR="007E587C" w:rsidRPr="00190009">
              <w:rPr>
                <w:rFonts w:ascii="Calibri" w:hAnsi="Calibri" w:cs="Arial"/>
                <w:bCs/>
                <w:lang w:val="en-US"/>
              </w:rPr>
              <w:t>3</w:t>
            </w:r>
            <w:r w:rsidR="007B2FBF" w:rsidRPr="00190009">
              <w:rPr>
                <w:rFonts w:ascii="Calibri" w:hAnsi="Calibri" w:cs="Arial"/>
                <w:bCs/>
                <w:lang w:val="en-US"/>
              </w:rPr>
              <w:t xml:space="preserve">: </w:t>
            </w:r>
            <w:r w:rsidR="007E587C" w:rsidRPr="00190009">
              <w:rPr>
                <w:rFonts w:ascii="Calibri" w:hAnsi="Calibri" w:cs="Arial"/>
                <w:bCs/>
                <w:lang w:val="en-US"/>
              </w:rPr>
              <w:t xml:space="preserve">Pronounced bone defect </w:t>
            </w:r>
            <w:r w:rsidR="007E587C" w:rsidRPr="00190009">
              <w:rPr>
                <w:rFonts w:ascii="Calibri" w:hAnsi="Calibri"/>
                <w:lang w:val="en-US"/>
              </w:rPr>
              <w:t xml:space="preserve">mesial to </w:t>
            </w:r>
            <w:r w:rsidR="007B2FBF" w:rsidRPr="00190009">
              <w:rPr>
                <w:rFonts w:ascii="Calibri" w:hAnsi="Calibri"/>
                <w:lang w:val="en-US"/>
              </w:rPr>
              <w:t xml:space="preserve">implant </w:t>
            </w:r>
            <w:r w:rsidR="004F0C5B" w:rsidRPr="00190009">
              <w:rPr>
                <w:rFonts w:ascii="Calibri" w:hAnsi="Calibri"/>
                <w:lang w:val="en-US"/>
              </w:rPr>
              <w:t>12</w:t>
            </w:r>
            <w:r w:rsidR="007B2FBF" w:rsidRPr="00190009">
              <w:rPr>
                <w:rFonts w:ascii="Calibri" w:hAnsi="Calibri"/>
                <w:lang w:val="en-US"/>
              </w:rPr>
              <w:t>.</w:t>
            </w:r>
          </w:p>
        </w:tc>
      </w:tr>
      <w:tr w:rsidR="007B2FBF" w:rsidRPr="00190009" w14:paraId="050BD503" w14:textId="77777777" w:rsidTr="002447EA">
        <w:tc>
          <w:tcPr>
            <w:tcW w:w="4531" w:type="dxa"/>
            <w:shd w:val="clear" w:color="auto" w:fill="auto"/>
          </w:tcPr>
          <w:p w14:paraId="6CEA13AF" w14:textId="639304BC" w:rsidR="007B2FBF" w:rsidRPr="00190009" w:rsidRDefault="001F2C9F" w:rsidP="007B2FBF">
            <w:pPr>
              <w:rPr>
                <w:rFonts w:ascii="Calibri" w:hAnsi="Calibri" w:cs="Arial"/>
                <w:b/>
                <w:bCs/>
                <w:sz w:val="28"/>
                <w:szCs w:val="28"/>
                <w:lang w:val="en-US"/>
              </w:rPr>
            </w:pPr>
            <w:r w:rsidRPr="00190009">
              <w:rPr>
                <w:rFonts w:ascii="Calibri" w:hAnsi="Calibri" w:cs="Arial"/>
                <w:b/>
                <w:noProof/>
                <w:sz w:val="28"/>
                <w:szCs w:val="28"/>
                <w:lang w:val="en-US"/>
              </w:rPr>
              <w:drawing>
                <wp:inline distT="0" distB="0" distL="0" distR="0" wp14:anchorId="4A57B21E" wp14:editId="7F25AE0C">
                  <wp:extent cx="2343150" cy="1549400"/>
                  <wp:effectExtent l="0" t="0" r="0" b="0"/>
                  <wp:docPr id="4" name="DSC_6602.JPG" descr="DSC_6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6602.JPG" descr="DSC_66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1549400"/>
                          </a:xfrm>
                          <a:prstGeom prst="rect">
                            <a:avLst/>
                          </a:prstGeom>
                          <a:noFill/>
                          <a:ln>
                            <a:noFill/>
                          </a:ln>
                        </pic:spPr>
                      </pic:pic>
                    </a:graphicData>
                  </a:graphic>
                </wp:inline>
              </w:drawing>
            </w:r>
          </w:p>
        </w:tc>
        <w:tc>
          <w:tcPr>
            <w:tcW w:w="5097" w:type="dxa"/>
            <w:shd w:val="clear" w:color="auto" w:fill="auto"/>
          </w:tcPr>
          <w:p w14:paraId="6B02049A" w14:textId="77777777" w:rsidR="00DB1D4F" w:rsidRPr="00190009" w:rsidRDefault="00D70A8D">
            <w:pPr>
              <w:tabs>
                <w:tab w:val="left" w:pos="1588"/>
              </w:tabs>
              <w:rPr>
                <w:rFonts w:ascii="Calibri" w:hAnsi="Calibri" w:cs="Arial"/>
                <w:lang w:val="en-US"/>
              </w:rPr>
            </w:pPr>
            <w:r w:rsidRPr="00190009">
              <w:rPr>
                <w:rFonts w:ascii="Calibri" w:hAnsi="Calibri" w:cs="Arial"/>
                <w:bCs/>
                <w:lang w:val="en-US"/>
              </w:rPr>
              <w:t xml:space="preserve">Fig. </w:t>
            </w:r>
            <w:r w:rsidR="004F0C5B" w:rsidRPr="00190009">
              <w:rPr>
                <w:rFonts w:ascii="Calibri" w:hAnsi="Calibri" w:cs="Arial"/>
                <w:bCs/>
                <w:lang w:val="en-US"/>
              </w:rPr>
              <w:t>4</w:t>
            </w:r>
            <w:r w:rsidR="007B2FBF" w:rsidRPr="00190009">
              <w:rPr>
                <w:rFonts w:ascii="Calibri" w:hAnsi="Calibri" w:cs="Arial"/>
                <w:bCs/>
                <w:lang w:val="en-US"/>
              </w:rPr>
              <w:t>: Initial clinical situation</w:t>
            </w:r>
            <w:r w:rsidR="004F0C5B" w:rsidRPr="00190009">
              <w:rPr>
                <w:rFonts w:ascii="Calibri" w:hAnsi="Calibri" w:cs="Arial"/>
                <w:bCs/>
                <w:lang w:val="en-US"/>
              </w:rPr>
              <w:t>:</w:t>
            </w:r>
          </w:p>
          <w:p w14:paraId="477774AB" w14:textId="77777777" w:rsidR="00DB1D4F" w:rsidRPr="00190009" w:rsidRDefault="00D70A8D">
            <w:pPr>
              <w:widowControl w:val="0"/>
              <w:tabs>
                <w:tab w:val="left" w:pos="1588"/>
              </w:tabs>
              <w:suppressAutoHyphens/>
              <w:rPr>
                <w:rFonts w:ascii="Calibri" w:hAnsi="Calibri" w:cs="Arial"/>
                <w:lang w:val="en-US"/>
              </w:rPr>
            </w:pPr>
            <w:r w:rsidRPr="00190009">
              <w:rPr>
                <w:rFonts w:ascii="Calibri" w:hAnsi="Calibri" w:cs="Arial"/>
                <w:lang w:val="en-US"/>
              </w:rPr>
              <w:t>ST 7 mm, BOP+</w:t>
            </w:r>
            <w:r w:rsidR="004F0C5B" w:rsidRPr="00190009">
              <w:rPr>
                <w:rFonts w:ascii="Calibri" w:hAnsi="Calibri" w:cs="Arial"/>
                <w:lang w:val="en-US"/>
              </w:rPr>
              <w:t>.</w:t>
            </w:r>
          </w:p>
          <w:p w14:paraId="4CC38D2D" w14:textId="77777777" w:rsidR="007B2FBF" w:rsidRPr="00190009" w:rsidRDefault="007B2FBF" w:rsidP="002447EA">
            <w:pPr>
              <w:tabs>
                <w:tab w:val="left" w:pos="1588"/>
              </w:tabs>
              <w:rPr>
                <w:rFonts w:ascii="Calibri" w:hAnsi="Calibri" w:cs="Arial"/>
                <w:lang w:val="en-US"/>
              </w:rPr>
            </w:pPr>
          </w:p>
        </w:tc>
      </w:tr>
      <w:tr w:rsidR="007B2FBF" w:rsidRPr="00190009" w14:paraId="7D99CBE0" w14:textId="77777777" w:rsidTr="002447EA">
        <w:tc>
          <w:tcPr>
            <w:tcW w:w="4531" w:type="dxa"/>
            <w:shd w:val="clear" w:color="auto" w:fill="auto"/>
          </w:tcPr>
          <w:p w14:paraId="31F78984" w14:textId="6D8F2C3A" w:rsidR="007B2FBF" w:rsidRPr="00190009" w:rsidRDefault="007B2FBF" w:rsidP="007B2FBF">
            <w:pPr>
              <w:rPr>
                <w:rFonts w:ascii="Calibri" w:hAnsi="Calibri" w:cs="Arial"/>
                <w:b/>
                <w:bCs/>
                <w:sz w:val="28"/>
                <w:szCs w:val="28"/>
                <w:lang w:val="en-US"/>
              </w:rPr>
            </w:pPr>
            <w:r w:rsidRPr="00190009">
              <w:rPr>
                <w:rFonts w:cs="David"/>
                <w:lang w:val="en-US"/>
              </w:rPr>
              <w:t xml:space="preserve"> </w:t>
            </w:r>
            <w:r w:rsidR="001F2C9F" w:rsidRPr="00190009">
              <w:rPr>
                <w:rFonts w:cs="David"/>
                <w:noProof/>
                <w:lang w:val="en-US"/>
              </w:rPr>
              <w:drawing>
                <wp:inline distT="0" distB="0" distL="0" distR="0" wp14:anchorId="2158FD1F" wp14:editId="46F62FA8">
                  <wp:extent cx="2514600" cy="1676400"/>
                  <wp:effectExtent l="0" t="0" r="0" b="0"/>
                  <wp:docPr id="5" name="DSC_6606.JPG" descr="DSC_6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6606.JPG" descr="DSC_660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676400"/>
                          </a:xfrm>
                          <a:prstGeom prst="rect">
                            <a:avLst/>
                          </a:prstGeom>
                          <a:noFill/>
                          <a:ln>
                            <a:noFill/>
                          </a:ln>
                        </pic:spPr>
                      </pic:pic>
                    </a:graphicData>
                  </a:graphic>
                </wp:inline>
              </w:drawing>
            </w:r>
          </w:p>
        </w:tc>
        <w:tc>
          <w:tcPr>
            <w:tcW w:w="5097" w:type="dxa"/>
            <w:shd w:val="clear" w:color="auto" w:fill="auto"/>
          </w:tcPr>
          <w:p w14:paraId="006353FD" w14:textId="77777777" w:rsidR="00DB1D4F" w:rsidRPr="00190009" w:rsidRDefault="00D70A8D">
            <w:pPr>
              <w:rPr>
                <w:rFonts w:ascii="Calibri" w:hAnsi="Calibri" w:cs="Arial"/>
                <w:bCs/>
                <w:lang w:val="en-US"/>
              </w:rPr>
            </w:pPr>
            <w:r w:rsidRPr="00190009">
              <w:rPr>
                <w:rFonts w:ascii="Calibri" w:hAnsi="Calibri" w:cs="Arial"/>
                <w:bCs/>
                <w:lang w:val="en-US"/>
              </w:rPr>
              <w:t xml:space="preserve">Fig. </w:t>
            </w:r>
            <w:r w:rsidR="004F0C5B" w:rsidRPr="00190009">
              <w:rPr>
                <w:rFonts w:ascii="Calibri" w:hAnsi="Calibri" w:cs="Arial"/>
                <w:bCs/>
                <w:lang w:val="en-US"/>
              </w:rPr>
              <w:t>5</w:t>
            </w:r>
            <w:r w:rsidR="007B2FBF" w:rsidRPr="00190009">
              <w:rPr>
                <w:rFonts w:ascii="Calibri" w:hAnsi="Calibri" w:cs="Arial"/>
                <w:bCs/>
                <w:lang w:val="en-US"/>
              </w:rPr>
              <w:t xml:space="preserve">: Situation after </w:t>
            </w:r>
            <w:r w:rsidR="004F0C5B" w:rsidRPr="00190009">
              <w:rPr>
                <w:rFonts w:ascii="Calibri" w:hAnsi="Calibri" w:cs="Arial"/>
                <w:bCs/>
                <w:lang w:val="en-US"/>
              </w:rPr>
              <w:t xml:space="preserve">removal of the crown </w:t>
            </w:r>
            <w:r w:rsidR="00656180" w:rsidRPr="00190009">
              <w:rPr>
                <w:rFonts w:ascii="Calibri" w:hAnsi="Calibri" w:cs="Arial"/>
                <w:bCs/>
                <w:lang w:val="en-US"/>
              </w:rPr>
              <w:t xml:space="preserve">from </w:t>
            </w:r>
            <w:r w:rsidR="004F0C5B" w:rsidRPr="00190009">
              <w:rPr>
                <w:rFonts w:ascii="Calibri" w:hAnsi="Calibri" w:cs="Arial"/>
                <w:bCs/>
                <w:lang w:val="en-US"/>
              </w:rPr>
              <w:t>implant 12 with pus exit.</w:t>
            </w:r>
          </w:p>
        </w:tc>
      </w:tr>
      <w:tr w:rsidR="007B2FBF" w:rsidRPr="00190009" w14:paraId="392BA4FB" w14:textId="77777777" w:rsidTr="002447EA">
        <w:tc>
          <w:tcPr>
            <w:tcW w:w="4531" w:type="dxa"/>
            <w:shd w:val="clear" w:color="auto" w:fill="auto"/>
          </w:tcPr>
          <w:p w14:paraId="102F4EB5" w14:textId="5E90AEBC" w:rsidR="007B2FBF" w:rsidRPr="00190009" w:rsidRDefault="001F2C9F" w:rsidP="007B2FBF">
            <w:pPr>
              <w:rPr>
                <w:rFonts w:cs="David"/>
                <w:lang w:val="en-US"/>
              </w:rPr>
            </w:pPr>
            <w:r w:rsidRPr="00190009">
              <w:rPr>
                <w:rFonts w:ascii="Calibri" w:hAnsi="Calibri" w:cs="Arial"/>
                <w:b/>
                <w:noProof/>
                <w:sz w:val="28"/>
                <w:szCs w:val="28"/>
                <w:lang w:val="en-US"/>
              </w:rPr>
              <w:drawing>
                <wp:inline distT="0" distB="0" distL="0" distR="0" wp14:anchorId="6DF34807" wp14:editId="0B79E69C">
                  <wp:extent cx="1905000" cy="1263650"/>
                  <wp:effectExtent l="0" t="0" r="0" b="0"/>
                  <wp:docPr id="6" name="Grafik 30" descr="Ein Bild, das Person, drinnen, Zahnbürs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 descr="Ein Bild, das Person, drinnen, Zahnbürste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263650"/>
                          </a:xfrm>
                          <a:prstGeom prst="rect">
                            <a:avLst/>
                          </a:prstGeom>
                          <a:noFill/>
                          <a:ln>
                            <a:noFill/>
                          </a:ln>
                        </pic:spPr>
                      </pic:pic>
                    </a:graphicData>
                  </a:graphic>
                </wp:inline>
              </w:drawing>
            </w:r>
          </w:p>
        </w:tc>
        <w:tc>
          <w:tcPr>
            <w:tcW w:w="5097" w:type="dxa"/>
            <w:shd w:val="clear" w:color="auto" w:fill="auto"/>
          </w:tcPr>
          <w:p w14:paraId="01EB4110" w14:textId="77777777" w:rsidR="00DB1D4F" w:rsidRPr="00190009" w:rsidRDefault="00D70A8D">
            <w:pPr>
              <w:rPr>
                <w:rFonts w:ascii="Calibri" w:hAnsi="Calibri" w:cs="Arial"/>
                <w:bCs/>
                <w:lang w:val="en-US"/>
              </w:rPr>
            </w:pPr>
            <w:r w:rsidRPr="00190009">
              <w:rPr>
                <w:rFonts w:ascii="Calibri" w:hAnsi="Calibri" w:cs="Arial"/>
                <w:bCs/>
                <w:lang w:val="en-US"/>
              </w:rPr>
              <w:t xml:space="preserve">Fig. </w:t>
            </w:r>
            <w:r w:rsidR="00B5067F" w:rsidRPr="00190009">
              <w:rPr>
                <w:rFonts w:ascii="Calibri" w:hAnsi="Calibri" w:cs="Arial"/>
                <w:bCs/>
                <w:lang w:val="en-US"/>
              </w:rPr>
              <w:t>6</w:t>
            </w:r>
            <w:r w:rsidR="007B2FBF" w:rsidRPr="00190009">
              <w:rPr>
                <w:rFonts w:ascii="Calibri" w:hAnsi="Calibri" w:cs="Arial"/>
                <w:bCs/>
                <w:lang w:val="en-US"/>
              </w:rPr>
              <w:t xml:space="preserve">: </w:t>
            </w:r>
            <w:r w:rsidR="00B5067F" w:rsidRPr="00190009">
              <w:rPr>
                <w:rFonts w:ascii="Calibri" w:hAnsi="Calibri" w:cs="Arial"/>
                <w:bCs/>
                <w:lang w:val="en-US"/>
              </w:rPr>
              <w:t xml:space="preserve">Preparation of PERISOLV: </w:t>
            </w:r>
            <w:r w:rsidR="007B2FBF" w:rsidRPr="00190009">
              <w:rPr>
                <w:rFonts w:ascii="Calibri" w:hAnsi="Calibri" w:cs="Arial"/>
                <w:bCs/>
                <w:lang w:val="en-US"/>
              </w:rPr>
              <w:t>mixing of the two components.</w:t>
            </w:r>
          </w:p>
        </w:tc>
      </w:tr>
      <w:tr w:rsidR="007B2FBF" w:rsidRPr="00190009" w14:paraId="5B05B481" w14:textId="77777777" w:rsidTr="002447EA">
        <w:tc>
          <w:tcPr>
            <w:tcW w:w="4531" w:type="dxa"/>
            <w:shd w:val="clear" w:color="auto" w:fill="auto"/>
          </w:tcPr>
          <w:p w14:paraId="5A65046E" w14:textId="342D44E2" w:rsidR="007B2FBF" w:rsidRPr="00190009" w:rsidRDefault="001F2C9F" w:rsidP="007B2FBF">
            <w:pPr>
              <w:rPr>
                <w:rFonts w:cs="David"/>
                <w:lang w:val="en-US"/>
              </w:rPr>
            </w:pPr>
            <w:r w:rsidRPr="00190009">
              <w:rPr>
                <w:rFonts w:cs="David"/>
                <w:noProof/>
                <w:lang w:val="en-US"/>
              </w:rPr>
              <w:drawing>
                <wp:inline distT="0" distB="0" distL="0" distR="0" wp14:anchorId="291F3678" wp14:editId="75B176F3">
                  <wp:extent cx="2559050" cy="1701800"/>
                  <wp:effectExtent l="0" t="0" r="0" b="0"/>
                  <wp:docPr id="7" name="DSC_6607.JPG" descr="DSC_6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6607.JPG" descr="DSC_660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9050" cy="1701800"/>
                          </a:xfrm>
                          <a:prstGeom prst="rect">
                            <a:avLst/>
                          </a:prstGeom>
                          <a:noFill/>
                          <a:ln>
                            <a:noFill/>
                          </a:ln>
                        </pic:spPr>
                      </pic:pic>
                    </a:graphicData>
                  </a:graphic>
                </wp:inline>
              </w:drawing>
            </w:r>
          </w:p>
        </w:tc>
        <w:tc>
          <w:tcPr>
            <w:tcW w:w="5097" w:type="dxa"/>
            <w:shd w:val="clear" w:color="auto" w:fill="auto"/>
          </w:tcPr>
          <w:p w14:paraId="7067D93C" w14:textId="77777777" w:rsidR="00DB1D4F" w:rsidRPr="00190009" w:rsidRDefault="00D70A8D">
            <w:pPr>
              <w:rPr>
                <w:rFonts w:ascii="Calibri" w:hAnsi="Calibri" w:cs="Arial"/>
                <w:bCs/>
                <w:lang w:val="en-US"/>
              </w:rPr>
            </w:pPr>
            <w:r w:rsidRPr="00190009">
              <w:rPr>
                <w:rFonts w:ascii="Calibri" w:hAnsi="Calibri" w:cs="Arial"/>
                <w:bCs/>
                <w:lang w:val="en-US"/>
              </w:rPr>
              <w:t xml:space="preserve">Fig. </w:t>
            </w:r>
            <w:r w:rsidR="006D3D97" w:rsidRPr="00190009">
              <w:rPr>
                <w:rFonts w:ascii="Calibri" w:hAnsi="Calibri" w:cs="Arial"/>
                <w:bCs/>
                <w:lang w:val="en-US"/>
              </w:rPr>
              <w:t xml:space="preserve">7: </w:t>
            </w:r>
            <w:r w:rsidRPr="00190009">
              <w:rPr>
                <w:rFonts w:ascii="Calibri" w:hAnsi="Calibri" w:cs="Arial"/>
                <w:bCs/>
                <w:lang w:val="en-US"/>
              </w:rPr>
              <w:t>After repeated application, the granulation tissue can be removed in toto</w:t>
            </w:r>
          </w:p>
        </w:tc>
      </w:tr>
      <w:tr w:rsidR="008F358B" w:rsidRPr="00190009" w14:paraId="63CC462F" w14:textId="77777777" w:rsidTr="002447EA">
        <w:tc>
          <w:tcPr>
            <w:tcW w:w="4531" w:type="dxa"/>
            <w:shd w:val="clear" w:color="auto" w:fill="auto"/>
          </w:tcPr>
          <w:p w14:paraId="04EA8D50" w14:textId="02B60090" w:rsidR="007B2FBF" w:rsidRPr="00190009" w:rsidRDefault="001F2C9F" w:rsidP="007B2FBF">
            <w:pPr>
              <w:rPr>
                <w:rFonts w:cs="David"/>
                <w:lang w:val="en-US"/>
              </w:rPr>
            </w:pPr>
            <w:r w:rsidRPr="00190009">
              <w:rPr>
                <w:rFonts w:cs="David"/>
                <w:noProof/>
                <w:lang w:val="en-US"/>
              </w:rPr>
              <w:drawing>
                <wp:inline distT="0" distB="0" distL="0" distR="0" wp14:anchorId="2D79723C" wp14:editId="13E2E69E">
                  <wp:extent cx="2514600" cy="1600200"/>
                  <wp:effectExtent l="0" t="0" r="0" b="0"/>
                  <wp:docPr id="8" name="DSC_6618.JPG" descr="DSC_6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6618.JPG" descr="DSC_66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1600200"/>
                          </a:xfrm>
                          <a:prstGeom prst="rect">
                            <a:avLst/>
                          </a:prstGeom>
                          <a:noFill/>
                          <a:ln>
                            <a:noFill/>
                          </a:ln>
                        </pic:spPr>
                      </pic:pic>
                    </a:graphicData>
                  </a:graphic>
                </wp:inline>
              </w:drawing>
            </w:r>
          </w:p>
        </w:tc>
        <w:tc>
          <w:tcPr>
            <w:tcW w:w="5097" w:type="dxa"/>
            <w:shd w:val="clear" w:color="auto" w:fill="auto"/>
          </w:tcPr>
          <w:p w14:paraId="353BDE60" w14:textId="77777777" w:rsidR="00DB1D4F" w:rsidRPr="00190009" w:rsidRDefault="00D70A8D">
            <w:pPr>
              <w:rPr>
                <w:rFonts w:ascii="Calibri" w:hAnsi="Calibri" w:cs="Arial"/>
                <w:bCs/>
                <w:lang w:val="en-US"/>
              </w:rPr>
            </w:pPr>
            <w:r w:rsidRPr="00190009">
              <w:rPr>
                <w:rFonts w:ascii="Calibri" w:hAnsi="Calibri" w:cs="Arial"/>
                <w:bCs/>
                <w:lang w:val="en-US"/>
              </w:rPr>
              <w:t>Fig. 8: Removed granulation tissue</w:t>
            </w:r>
            <w:r w:rsidR="00164209" w:rsidRPr="00190009">
              <w:rPr>
                <w:rFonts w:ascii="Calibri" w:hAnsi="Calibri" w:cs="Arial"/>
                <w:bCs/>
                <w:lang w:val="en-US"/>
              </w:rPr>
              <w:t>.</w:t>
            </w:r>
          </w:p>
          <w:p w14:paraId="54CED813" w14:textId="77777777" w:rsidR="00B35C26" w:rsidRPr="00190009" w:rsidRDefault="00B35C26" w:rsidP="00B35C26">
            <w:pPr>
              <w:rPr>
                <w:rFonts w:ascii="Calibri" w:hAnsi="Calibri" w:cs="Arial"/>
                <w:lang w:val="en-US"/>
              </w:rPr>
            </w:pPr>
          </w:p>
          <w:p w14:paraId="1E442A85" w14:textId="77777777" w:rsidR="00B35C26" w:rsidRPr="00190009" w:rsidRDefault="00B35C26" w:rsidP="00B35C26">
            <w:pPr>
              <w:rPr>
                <w:rFonts w:ascii="Calibri" w:hAnsi="Calibri" w:cs="Arial"/>
                <w:lang w:val="en-US"/>
              </w:rPr>
            </w:pPr>
          </w:p>
          <w:p w14:paraId="381FED16" w14:textId="77777777" w:rsidR="00B35C26" w:rsidRPr="00190009" w:rsidRDefault="00B35C26" w:rsidP="00B35C26">
            <w:pPr>
              <w:rPr>
                <w:rFonts w:ascii="Calibri" w:hAnsi="Calibri" w:cs="Arial"/>
                <w:lang w:val="en-US"/>
              </w:rPr>
            </w:pPr>
          </w:p>
          <w:p w14:paraId="3BD72462" w14:textId="77777777" w:rsidR="00B35C26" w:rsidRPr="00190009" w:rsidRDefault="00B35C26" w:rsidP="00B35C26">
            <w:pPr>
              <w:rPr>
                <w:rFonts w:ascii="Calibri" w:hAnsi="Calibri" w:cs="Arial"/>
                <w:lang w:val="en-US"/>
              </w:rPr>
            </w:pPr>
          </w:p>
          <w:p w14:paraId="479B90B4" w14:textId="77777777" w:rsidR="00B35C26" w:rsidRPr="00190009" w:rsidRDefault="00B35C26" w:rsidP="00B35C26">
            <w:pPr>
              <w:rPr>
                <w:rFonts w:ascii="Calibri" w:hAnsi="Calibri" w:cs="Arial"/>
                <w:lang w:val="en-US"/>
              </w:rPr>
            </w:pPr>
          </w:p>
          <w:p w14:paraId="360B1FB5" w14:textId="77777777" w:rsidR="007B2FBF" w:rsidRPr="00190009" w:rsidRDefault="007B2FBF" w:rsidP="00B35C26">
            <w:pPr>
              <w:rPr>
                <w:rFonts w:ascii="Calibri" w:hAnsi="Calibri" w:cs="Arial"/>
                <w:lang w:val="en-US"/>
              </w:rPr>
            </w:pPr>
          </w:p>
        </w:tc>
      </w:tr>
      <w:tr w:rsidR="00861290" w:rsidRPr="00190009" w14:paraId="0FF14487" w14:textId="77777777" w:rsidTr="002447EA">
        <w:tc>
          <w:tcPr>
            <w:tcW w:w="4531" w:type="dxa"/>
            <w:shd w:val="clear" w:color="auto" w:fill="auto"/>
          </w:tcPr>
          <w:p w14:paraId="2EAD5457" w14:textId="6C0AC745" w:rsidR="00861290" w:rsidRPr="00190009" w:rsidRDefault="001F2C9F" w:rsidP="007B2FBF">
            <w:pPr>
              <w:rPr>
                <w:rFonts w:cs="David"/>
                <w:lang w:val="en-US"/>
              </w:rPr>
            </w:pPr>
            <w:r w:rsidRPr="00190009">
              <w:rPr>
                <w:rFonts w:cs="David"/>
                <w:noProof/>
                <w:lang w:val="en-US"/>
              </w:rPr>
              <w:drawing>
                <wp:inline distT="0" distB="0" distL="0" distR="0" wp14:anchorId="27203D11" wp14:editId="1D233DE9">
                  <wp:extent cx="2387600" cy="1562100"/>
                  <wp:effectExtent l="0" t="0" r="0" b="0"/>
                  <wp:docPr id="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7600" cy="1562100"/>
                          </a:xfrm>
                          <a:prstGeom prst="rect">
                            <a:avLst/>
                          </a:prstGeom>
                          <a:noFill/>
                          <a:ln>
                            <a:noFill/>
                          </a:ln>
                        </pic:spPr>
                      </pic:pic>
                    </a:graphicData>
                  </a:graphic>
                </wp:inline>
              </w:drawing>
            </w:r>
          </w:p>
        </w:tc>
        <w:tc>
          <w:tcPr>
            <w:tcW w:w="5097" w:type="dxa"/>
            <w:shd w:val="clear" w:color="auto" w:fill="auto"/>
          </w:tcPr>
          <w:p w14:paraId="4A894A39" w14:textId="77777777" w:rsidR="00DB1D4F" w:rsidRPr="00190009" w:rsidRDefault="00D70A8D">
            <w:pPr>
              <w:rPr>
                <w:rFonts w:ascii="Calibri" w:hAnsi="Calibri" w:cs="Arial"/>
                <w:bCs/>
                <w:lang w:val="en-US"/>
              </w:rPr>
            </w:pPr>
            <w:r w:rsidRPr="00190009">
              <w:rPr>
                <w:rFonts w:ascii="Calibri" w:hAnsi="Calibri" w:cs="Arial"/>
                <w:bCs/>
                <w:lang w:val="en-US"/>
              </w:rPr>
              <w:t xml:space="preserve">Fig. 9: Visual control of the </w:t>
            </w:r>
            <w:r w:rsidRPr="00190009">
              <w:rPr>
                <w:rFonts w:ascii="Calibri" w:hAnsi="Calibri" w:cs="Arial"/>
                <w:lang w:val="en-US"/>
              </w:rPr>
              <w:t>most complete removal of granulation tissue possible at the end of treatment.</w:t>
            </w:r>
          </w:p>
        </w:tc>
      </w:tr>
      <w:tr w:rsidR="007B2FBF" w:rsidRPr="00190009" w14:paraId="015886DD" w14:textId="77777777" w:rsidTr="002447EA">
        <w:tc>
          <w:tcPr>
            <w:tcW w:w="4531" w:type="dxa"/>
            <w:shd w:val="clear" w:color="auto" w:fill="auto"/>
          </w:tcPr>
          <w:p w14:paraId="35DE9E06" w14:textId="7A0DE3DB" w:rsidR="007B2FBF" w:rsidRPr="00190009" w:rsidRDefault="001F2C9F" w:rsidP="007B2FBF">
            <w:pPr>
              <w:rPr>
                <w:rFonts w:cs="David"/>
                <w:lang w:val="en-US"/>
              </w:rPr>
            </w:pPr>
            <w:r w:rsidRPr="00190009">
              <w:rPr>
                <w:rFonts w:ascii="Calibri" w:hAnsi="Calibri" w:cs="Arial"/>
                <w:noProof/>
                <w:lang w:val="en-US"/>
              </w:rPr>
              <w:drawing>
                <wp:inline distT="0" distB="0" distL="0" distR="0" wp14:anchorId="1AD383C7" wp14:editId="45D0E5D5">
                  <wp:extent cx="1231900" cy="825500"/>
                  <wp:effectExtent l="0" t="0" r="0" b="0"/>
                  <wp:docPr id="10" name="Grafik 44" descr="Ein Bild, das St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4" descr="Ein Bild, das Stift enthält.&#10;&#10;Automatisch generierte Beschreibu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1900" cy="825500"/>
                          </a:xfrm>
                          <a:prstGeom prst="rect">
                            <a:avLst/>
                          </a:prstGeom>
                          <a:noFill/>
                          <a:ln>
                            <a:noFill/>
                          </a:ln>
                        </pic:spPr>
                      </pic:pic>
                    </a:graphicData>
                  </a:graphic>
                </wp:inline>
              </w:drawing>
            </w:r>
          </w:p>
        </w:tc>
        <w:tc>
          <w:tcPr>
            <w:tcW w:w="5097" w:type="dxa"/>
            <w:shd w:val="clear" w:color="auto" w:fill="auto"/>
          </w:tcPr>
          <w:p w14:paraId="386121C0" w14:textId="77777777" w:rsidR="00DB1D4F" w:rsidRPr="00190009" w:rsidRDefault="00D70A8D">
            <w:pPr>
              <w:rPr>
                <w:rFonts w:ascii="Calibri" w:hAnsi="Calibri" w:cs="Arial"/>
                <w:bCs/>
                <w:lang w:val="en-US"/>
              </w:rPr>
            </w:pPr>
            <w:r w:rsidRPr="00190009">
              <w:rPr>
                <w:rFonts w:ascii="Calibri" w:hAnsi="Calibri" w:cs="Arial"/>
                <w:bCs/>
                <w:lang w:val="en-US"/>
              </w:rPr>
              <w:t xml:space="preserve">Fig. </w:t>
            </w:r>
            <w:r w:rsidR="00861290" w:rsidRPr="00190009">
              <w:rPr>
                <w:rFonts w:ascii="Calibri" w:hAnsi="Calibri" w:cs="Arial"/>
                <w:bCs/>
                <w:lang w:val="en-US"/>
              </w:rPr>
              <w:t>10</w:t>
            </w:r>
            <w:r w:rsidR="00164209" w:rsidRPr="00190009">
              <w:rPr>
                <w:rFonts w:ascii="Calibri" w:hAnsi="Calibri" w:cs="Arial"/>
                <w:bCs/>
                <w:lang w:val="en-US"/>
              </w:rPr>
              <w:t>: Cross-linked hyaluronic acid hyaDENT BG for sealing the cleaned pocket.</w:t>
            </w:r>
          </w:p>
        </w:tc>
      </w:tr>
      <w:tr w:rsidR="007B2FBF" w:rsidRPr="00190009" w14:paraId="7F407335" w14:textId="77777777" w:rsidTr="002447EA">
        <w:tc>
          <w:tcPr>
            <w:tcW w:w="4531" w:type="dxa"/>
            <w:shd w:val="clear" w:color="auto" w:fill="auto"/>
          </w:tcPr>
          <w:p w14:paraId="3C3A8408" w14:textId="6EC85B0E" w:rsidR="007B2FBF" w:rsidRPr="00190009" w:rsidRDefault="001F2C9F" w:rsidP="007B2FBF">
            <w:pPr>
              <w:rPr>
                <w:rFonts w:cs="David"/>
                <w:lang w:val="en-US"/>
              </w:rPr>
            </w:pPr>
            <w:r w:rsidRPr="00190009">
              <w:rPr>
                <w:rFonts w:cs="David"/>
                <w:noProof/>
                <w:lang w:val="en-US"/>
              </w:rPr>
              <w:drawing>
                <wp:inline distT="0" distB="0" distL="0" distR="0" wp14:anchorId="3F733186" wp14:editId="5FA59816">
                  <wp:extent cx="2368550" cy="1568450"/>
                  <wp:effectExtent l="0" t="0" r="0" b="0"/>
                  <wp:docPr id="11" name="DSC_6628.JPG" descr="DSC_6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6628.JPG" descr="DSC_662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68550" cy="1568450"/>
                          </a:xfrm>
                          <a:prstGeom prst="rect">
                            <a:avLst/>
                          </a:prstGeom>
                          <a:noFill/>
                          <a:ln>
                            <a:noFill/>
                          </a:ln>
                        </pic:spPr>
                      </pic:pic>
                    </a:graphicData>
                  </a:graphic>
                </wp:inline>
              </w:drawing>
            </w:r>
          </w:p>
        </w:tc>
        <w:tc>
          <w:tcPr>
            <w:tcW w:w="5097" w:type="dxa"/>
            <w:shd w:val="clear" w:color="auto" w:fill="auto"/>
          </w:tcPr>
          <w:p w14:paraId="2BE80625" w14:textId="77777777" w:rsidR="00DB1D4F" w:rsidRPr="00190009" w:rsidRDefault="00D70A8D">
            <w:pPr>
              <w:rPr>
                <w:rFonts w:ascii="Calibri" w:hAnsi="Calibri" w:cs="Arial"/>
                <w:bCs/>
                <w:lang w:val="en-US"/>
              </w:rPr>
            </w:pPr>
            <w:r w:rsidRPr="00190009">
              <w:rPr>
                <w:rFonts w:ascii="Calibri" w:hAnsi="Calibri" w:cs="Arial"/>
                <w:bCs/>
                <w:lang w:val="en-US"/>
              </w:rPr>
              <w:t xml:space="preserve">Fig. </w:t>
            </w:r>
            <w:r w:rsidR="00861290" w:rsidRPr="00190009">
              <w:rPr>
                <w:rFonts w:ascii="Calibri" w:hAnsi="Calibri" w:cs="Arial"/>
                <w:bCs/>
                <w:lang w:val="en-US"/>
              </w:rPr>
              <w:t>11</w:t>
            </w:r>
            <w:r w:rsidR="008F358B" w:rsidRPr="00190009">
              <w:rPr>
                <w:rFonts w:ascii="Calibri" w:hAnsi="Calibri" w:cs="Arial"/>
                <w:bCs/>
                <w:lang w:val="en-US"/>
              </w:rPr>
              <w:t xml:space="preserve">: Follow-up after </w:t>
            </w:r>
            <w:r w:rsidR="007B2FBF" w:rsidRPr="00190009">
              <w:rPr>
                <w:rFonts w:ascii="Calibri" w:hAnsi="Calibri" w:cs="Arial"/>
                <w:bCs/>
                <w:lang w:val="en-US"/>
              </w:rPr>
              <w:t xml:space="preserve">2 </w:t>
            </w:r>
            <w:r w:rsidR="008F358B" w:rsidRPr="00190009">
              <w:rPr>
                <w:rFonts w:ascii="Calibri" w:hAnsi="Calibri" w:cs="Arial"/>
                <w:bCs/>
                <w:lang w:val="en-US"/>
              </w:rPr>
              <w:t>months</w:t>
            </w:r>
            <w:r w:rsidR="007B2FBF" w:rsidRPr="00190009">
              <w:rPr>
                <w:rFonts w:ascii="Calibri" w:hAnsi="Calibri" w:cs="Arial"/>
                <w:bCs/>
                <w:lang w:val="en-US"/>
              </w:rPr>
              <w:t>: asymptomatic, gingiva tight, no inflammation</w:t>
            </w:r>
          </w:p>
        </w:tc>
      </w:tr>
      <w:tr w:rsidR="007B2FBF" w:rsidRPr="00190009" w14:paraId="13F34655" w14:textId="77777777" w:rsidTr="002447EA">
        <w:tc>
          <w:tcPr>
            <w:tcW w:w="4531" w:type="dxa"/>
            <w:shd w:val="clear" w:color="auto" w:fill="auto"/>
          </w:tcPr>
          <w:p w14:paraId="6690BA2D" w14:textId="503B546B" w:rsidR="007B2FBF" w:rsidRPr="00190009" w:rsidRDefault="007B2FBF" w:rsidP="007B2FBF">
            <w:pPr>
              <w:rPr>
                <w:rFonts w:ascii="Calibri" w:hAnsi="Calibri" w:cs="Arial"/>
                <w:b/>
                <w:bCs/>
                <w:sz w:val="28"/>
                <w:szCs w:val="28"/>
                <w:lang w:val="en-US"/>
              </w:rPr>
            </w:pPr>
            <w:r w:rsidRPr="00190009">
              <w:rPr>
                <w:rFonts w:cs="David"/>
                <w:lang w:val="en-US"/>
              </w:rPr>
              <w:t xml:space="preserve"> </w:t>
            </w:r>
            <w:r w:rsidR="001F2C9F" w:rsidRPr="00190009">
              <w:rPr>
                <w:rFonts w:cs="David"/>
                <w:noProof/>
                <w:lang w:val="en-US"/>
              </w:rPr>
              <w:drawing>
                <wp:inline distT="0" distB="0" distL="0" distR="0" wp14:anchorId="413FBF6A" wp14:editId="4724220E">
                  <wp:extent cx="1746250" cy="2457450"/>
                  <wp:effectExtent l="0" t="0" r="0" b="0"/>
                  <wp:docPr id="12" name="Radovanovic_3.jpg" descr="Radovanovic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ovanovic_3.jpg" descr="Radovanovic_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46250" cy="2457450"/>
                          </a:xfrm>
                          <a:prstGeom prst="rect">
                            <a:avLst/>
                          </a:prstGeom>
                          <a:noFill/>
                          <a:ln>
                            <a:noFill/>
                          </a:ln>
                        </pic:spPr>
                      </pic:pic>
                    </a:graphicData>
                  </a:graphic>
                </wp:inline>
              </w:drawing>
            </w:r>
          </w:p>
        </w:tc>
        <w:tc>
          <w:tcPr>
            <w:tcW w:w="5097" w:type="dxa"/>
            <w:shd w:val="clear" w:color="auto" w:fill="auto"/>
          </w:tcPr>
          <w:p w14:paraId="59434F5A" w14:textId="77777777" w:rsidR="00DB1D4F" w:rsidRPr="00190009" w:rsidRDefault="00D70A8D">
            <w:pPr>
              <w:widowControl w:val="0"/>
              <w:suppressAutoHyphens/>
              <w:rPr>
                <w:rFonts w:ascii="Calibri" w:hAnsi="Calibri" w:cs="Arial"/>
                <w:bCs/>
                <w:lang w:val="en-US"/>
              </w:rPr>
            </w:pPr>
            <w:r w:rsidRPr="00190009">
              <w:rPr>
                <w:rFonts w:ascii="Calibri" w:hAnsi="Calibri" w:cs="Arial"/>
                <w:bCs/>
                <w:lang w:val="en-US"/>
              </w:rPr>
              <w:t xml:space="preserve">Fig. </w:t>
            </w:r>
            <w:r w:rsidR="00861290" w:rsidRPr="00190009">
              <w:rPr>
                <w:rFonts w:ascii="Calibri" w:hAnsi="Calibri" w:cs="Arial"/>
                <w:bCs/>
                <w:lang w:val="en-US"/>
              </w:rPr>
              <w:t>12</w:t>
            </w:r>
            <w:r w:rsidR="005E145D" w:rsidRPr="00190009">
              <w:rPr>
                <w:rFonts w:ascii="Calibri" w:hAnsi="Calibri" w:cs="Arial"/>
                <w:bCs/>
                <w:lang w:val="en-US"/>
              </w:rPr>
              <w:t xml:space="preserve">: X-ray image after 2 months with incipient </w:t>
            </w:r>
            <w:r w:rsidRPr="00190009">
              <w:rPr>
                <w:rFonts w:ascii="Calibri" w:hAnsi="Calibri" w:cs="Arial"/>
                <w:bCs/>
                <w:lang w:val="en-US"/>
              </w:rPr>
              <w:t xml:space="preserve">bone thickening mesially </w:t>
            </w:r>
            <w:r w:rsidR="005E145D" w:rsidRPr="00190009">
              <w:rPr>
                <w:rFonts w:ascii="Calibri" w:hAnsi="Calibri" w:cs="Arial"/>
                <w:bCs/>
                <w:lang w:val="en-US"/>
              </w:rPr>
              <w:t>of implant 12.</w:t>
            </w:r>
          </w:p>
          <w:p w14:paraId="064804F8" w14:textId="77777777" w:rsidR="007B2FBF" w:rsidRPr="00190009" w:rsidRDefault="007B2FBF" w:rsidP="007B2FBF">
            <w:pPr>
              <w:rPr>
                <w:rFonts w:ascii="Calibri" w:hAnsi="Calibri" w:cs="Arial"/>
                <w:bCs/>
                <w:lang w:val="en-US"/>
              </w:rPr>
            </w:pPr>
          </w:p>
        </w:tc>
      </w:tr>
      <w:tr w:rsidR="007B2FBF" w:rsidRPr="00190009" w14:paraId="7646E51C" w14:textId="77777777" w:rsidTr="002447EA">
        <w:tc>
          <w:tcPr>
            <w:tcW w:w="4531" w:type="dxa"/>
            <w:shd w:val="clear" w:color="auto" w:fill="auto"/>
          </w:tcPr>
          <w:p w14:paraId="76DDF31B" w14:textId="4FC8981C" w:rsidR="007B2FBF" w:rsidRPr="00190009" w:rsidRDefault="001F2C9F" w:rsidP="007B2FBF">
            <w:pPr>
              <w:rPr>
                <w:rFonts w:cs="David"/>
                <w:lang w:val="en-US"/>
              </w:rPr>
            </w:pPr>
            <w:r w:rsidRPr="00190009">
              <w:rPr>
                <w:rFonts w:cs="David"/>
                <w:noProof/>
                <w:lang w:val="en-US"/>
              </w:rPr>
              <w:drawing>
                <wp:inline distT="0" distB="0" distL="0" distR="0" wp14:anchorId="459F2843" wp14:editId="2C9E4BA4">
                  <wp:extent cx="2438400" cy="1619250"/>
                  <wp:effectExtent l="0" t="0" r="0" b="0"/>
                  <wp:docPr id="13" name="DSC_6738.JPG" descr="DSC_6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6738.JPG" descr="DSC_673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0" cy="1619250"/>
                          </a:xfrm>
                          <a:prstGeom prst="rect">
                            <a:avLst/>
                          </a:prstGeom>
                          <a:noFill/>
                          <a:ln>
                            <a:noFill/>
                          </a:ln>
                        </pic:spPr>
                      </pic:pic>
                    </a:graphicData>
                  </a:graphic>
                </wp:inline>
              </w:drawing>
            </w:r>
          </w:p>
        </w:tc>
        <w:tc>
          <w:tcPr>
            <w:tcW w:w="5097" w:type="dxa"/>
            <w:shd w:val="clear" w:color="auto" w:fill="auto"/>
          </w:tcPr>
          <w:p w14:paraId="3BC456E8" w14:textId="77777777" w:rsidR="00DB1D4F" w:rsidRPr="00190009" w:rsidRDefault="00D70A8D">
            <w:pPr>
              <w:rPr>
                <w:rFonts w:ascii="Calibri" w:hAnsi="Calibri" w:cs="Arial"/>
                <w:bCs/>
                <w:lang w:val="en-US"/>
              </w:rPr>
            </w:pPr>
            <w:r w:rsidRPr="00190009">
              <w:rPr>
                <w:rFonts w:ascii="Calibri" w:hAnsi="Calibri" w:cs="Arial"/>
                <w:bCs/>
                <w:lang w:val="en-US"/>
              </w:rPr>
              <w:t xml:space="preserve">Fig. </w:t>
            </w:r>
            <w:r w:rsidR="00861290" w:rsidRPr="00190009">
              <w:rPr>
                <w:rFonts w:ascii="Calibri" w:hAnsi="Calibri" w:cs="Arial"/>
                <w:bCs/>
                <w:lang w:val="en-US"/>
              </w:rPr>
              <w:t>13</w:t>
            </w:r>
            <w:r w:rsidR="007B2FBF" w:rsidRPr="00190009">
              <w:rPr>
                <w:rFonts w:ascii="Calibri" w:hAnsi="Calibri" w:cs="Arial"/>
                <w:bCs/>
                <w:lang w:val="en-US"/>
              </w:rPr>
              <w:t xml:space="preserve">: </w:t>
            </w:r>
            <w:r w:rsidR="005E145D" w:rsidRPr="00190009">
              <w:rPr>
                <w:rFonts w:ascii="Calibri" w:hAnsi="Calibri" w:cs="Arial"/>
                <w:bCs/>
                <w:lang w:val="en-US"/>
              </w:rPr>
              <w:t>Follow-up after 6 months: asymptomatic, gingiva tight</w:t>
            </w:r>
            <w:r w:rsidR="007B2FBF" w:rsidRPr="00190009">
              <w:rPr>
                <w:rFonts w:ascii="Calibri" w:hAnsi="Calibri" w:cs="Arial"/>
                <w:bCs/>
                <w:lang w:val="en-US"/>
              </w:rPr>
              <w:t>.</w:t>
            </w:r>
          </w:p>
        </w:tc>
      </w:tr>
      <w:tr w:rsidR="007B2FBF" w:rsidRPr="00190009" w14:paraId="26104512" w14:textId="77777777" w:rsidTr="002447EA">
        <w:tc>
          <w:tcPr>
            <w:tcW w:w="4531" w:type="dxa"/>
            <w:shd w:val="clear" w:color="auto" w:fill="auto"/>
          </w:tcPr>
          <w:p w14:paraId="18D0536B" w14:textId="1499C06E" w:rsidR="007B2FBF" w:rsidRPr="00190009" w:rsidRDefault="007B2FBF" w:rsidP="007B2FBF">
            <w:pPr>
              <w:rPr>
                <w:rFonts w:ascii="Calibri" w:hAnsi="Calibri" w:cs="Arial"/>
                <w:b/>
                <w:bCs/>
                <w:sz w:val="28"/>
                <w:szCs w:val="28"/>
                <w:lang w:val="en-US"/>
              </w:rPr>
            </w:pPr>
            <w:r w:rsidRPr="00190009">
              <w:rPr>
                <w:rFonts w:cs="David"/>
                <w:lang w:val="en-US"/>
              </w:rPr>
              <w:t xml:space="preserve"> </w:t>
            </w:r>
            <w:r w:rsidR="001F2C9F" w:rsidRPr="00190009">
              <w:rPr>
                <w:noProof/>
                <w:lang w:val="en-US"/>
              </w:rPr>
              <w:drawing>
                <wp:inline distT="0" distB="0" distL="0" distR="0" wp14:anchorId="05D87B9E" wp14:editId="296EA417">
                  <wp:extent cx="1663700" cy="2184400"/>
                  <wp:effectExtent l="0" t="0" r="0" b="0"/>
                  <wp:docPr id="14" name="Radovanovic_1.jpg" descr="Radovanovi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ovanovic_1.jpg" descr="Radovanovic_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63700" cy="2184400"/>
                          </a:xfrm>
                          <a:prstGeom prst="rect">
                            <a:avLst/>
                          </a:prstGeom>
                          <a:noFill/>
                          <a:ln>
                            <a:noFill/>
                          </a:ln>
                        </pic:spPr>
                      </pic:pic>
                    </a:graphicData>
                  </a:graphic>
                </wp:inline>
              </w:drawing>
            </w:r>
          </w:p>
        </w:tc>
        <w:tc>
          <w:tcPr>
            <w:tcW w:w="5097" w:type="dxa"/>
            <w:shd w:val="clear" w:color="auto" w:fill="auto"/>
          </w:tcPr>
          <w:p w14:paraId="0B1CE73F" w14:textId="77777777" w:rsidR="00DB1D4F" w:rsidRPr="00190009" w:rsidRDefault="00D70A8D">
            <w:pPr>
              <w:widowControl w:val="0"/>
              <w:suppressAutoHyphens/>
              <w:rPr>
                <w:rFonts w:ascii="Calibri" w:hAnsi="Calibri" w:cs="Arial"/>
                <w:bCs/>
                <w:lang w:val="en-US"/>
              </w:rPr>
            </w:pPr>
            <w:r w:rsidRPr="00190009">
              <w:rPr>
                <w:rFonts w:ascii="Calibri" w:hAnsi="Calibri" w:cs="Arial"/>
                <w:bCs/>
                <w:lang w:val="en-US"/>
              </w:rPr>
              <w:t xml:space="preserve">Fig. </w:t>
            </w:r>
            <w:r w:rsidR="00861290" w:rsidRPr="00190009">
              <w:rPr>
                <w:rFonts w:ascii="Calibri" w:hAnsi="Calibri" w:cs="Arial"/>
                <w:bCs/>
                <w:lang w:val="en-US"/>
              </w:rPr>
              <w:t>14</w:t>
            </w:r>
            <w:r w:rsidR="007B2FBF" w:rsidRPr="00190009">
              <w:rPr>
                <w:rFonts w:ascii="Calibri" w:hAnsi="Calibri" w:cs="Arial"/>
                <w:bCs/>
                <w:lang w:val="en-US"/>
              </w:rPr>
              <w:t xml:space="preserve">: </w:t>
            </w:r>
            <w:r w:rsidR="005E145D" w:rsidRPr="00190009">
              <w:rPr>
                <w:rFonts w:ascii="Calibri" w:hAnsi="Calibri" w:cs="Arial"/>
                <w:bCs/>
                <w:lang w:val="en-US"/>
              </w:rPr>
              <w:t xml:space="preserve">X-ray image after 6 months with </w:t>
            </w:r>
            <w:r w:rsidRPr="00190009">
              <w:rPr>
                <w:rFonts w:ascii="Calibri" w:hAnsi="Calibri" w:cs="Arial"/>
                <w:bCs/>
                <w:lang w:val="en-US"/>
              </w:rPr>
              <w:t xml:space="preserve">extensive bone regeneration mesial </w:t>
            </w:r>
            <w:r w:rsidR="005E145D" w:rsidRPr="00190009">
              <w:rPr>
                <w:rFonts w:ascii="Calibri" w:hAnsi="Calibri" w:cs="Arial"/>
                <w:bCs/>
                <w:lang w:val="en-US"/>
              </w:rPr>
              <w:t>implant 12.</w:t>
            </w:r>
          </w:p>
          <w:p w14:paraId="6EE01847" w14:textId="77777777" w:rsidR="007B2FBF" w:rsidRPr="00190009" w:rsidRDefault="007B2FBF" w:rsidP="007B2FBF">
            <w:pPr>
              <w:rPr>
                <w:rFonts w:ascii="Calibri" w:hAnsi="Calibri" w:cs="Arial"/>
                <w:bCs/>
                <w:lang w:val="en-US"/>
              </w:rPr>
            </w:pPr>
          </w:p>
        </w:tc>
      </w:tr>
    </w:tbl>
    <w:p w14:paraId="59367EF5" w14:textId="77777777" w:rsidR="00176057" w:rsidRPr="00190009" w:rsidRDefault="00176057" w:rsidP="00176057">
      <w:pPr>
        <w:rPr>
          <w:rFonts w:ascii="Calibri" w:hAnsi="Calibri" w:cs="Arial"/>
          <w:bCs/>
          <w:lang w:val="en-US"/>
        </w:rPr>
      </w:pPr>
    </w:p>
    <w:p w14:paraId="1AB1586B" w14:textId="77777777" w:rsidR="00DB1D4F" w:rsidRPr="00190009" w:rsidRDefault="00D70A8D">
      <w:pPr>
        <w:rPr>
          <w:rFonts w:ascii="Calibri" w:hAnsi="Calibri" w:cs="Arial"/>
          <w:bCs/>
          <w:lang w:val="en-US"/>
        </w:rPr>
      </w:pPr>
      <w:r w:rsidRPr="00190009">
        <w:rPr>
          <w:rFonts w:ascii="Calibri" w:hAnsi="Calibri" w:cs="Arial"/>
          <w:bCs/>
          <w:lang w:val="en-US"/>
        </w:rPr>
        <w:br w:type="column"/>
        <w:t>LITERATURE</w:t>
      </w:r>
    </w:p>
    <w:p w14:paraId="2099CB6D" w14:textId="77777777" w:rsidR="00A728B5" w:rsidRPr="00190009" w:rsidRDefault="00A728B5" w:rsidP="00A728B5">
      <w:pPr>
        <w:rPr>
          <w:rFonts w:ascii="Calibri" w:hAnsi="Calibri" w:cs="Arial"/>
          <w:bCs/>
          <w:lang w:val="en-US"/>
        </w:rPr>
      </w:pPr>
    </w:p>
    <w:p w14:paraId="471DE42C" w14:textId="77777777" w:rsidR="00DB1D4F" w:rsidRPr="00190009" w:rsidRDefault="00D70A8D">
      <w:pPr>
        <w:contextualSpacing/>
        <w:rPr>
          <w:rFonts w:ascii="Calibri" w:hAnsi="Calibri"/>
          <w:lang w:val="en-US"/>
        </w:rPr>
      </w:pPr>
      <w:r w:rsidRPr="00190009">
        <w:rPr>
          <w:rFonts w:ascii="Calibri" w:hAnsi="Calibri"/>
          <w:lang w:val="en-US"/>
        </w:rPr>
        <w:t xml:space="preserve">Alcântara CEP, Castro MAA, </w:t>
      </w:r>
      <w:r w:rsidRPr="00190009">
        <w:rPr>
          <w:rFonts w:ascii="Calibri" w:hAnsi="Calibri"/>
          <w:lang w:val="en-US"/>
        </w:rPr>
        <w:t>Noronha MS, Martins-Junior PA, Mendes RM, Caliari MV, Mesquita RA, Ferreira AJ. Hyaluronic acid accelerates bone repair in human dental sockets: a randomized triple-blind clinical trial. Braz Oral Res. 2018;32:e84.</w:t>
      </w:r>
    </w:p>
    <w:p w14:paraId="60C74213" w14:textId="77777777" w:rsidR="00DB1D4F" w:rsidRPr="00190009" w:rsidRDefault="00D70A8D">
      <w:pPr>
        <w:rPr>
          <w:rFonts w:ascii="Calibri" w:hAnsi="Calibri" w:cs="Arial"/>
          <w:bCs/>
          <w:lang w:val="en-US"/>
        </w:rPr>
      </w:pPr>
      <w:r w:rsidRPr="00190009">
        <w:rPr>
          <w:rFonts w:ascii="Calibri" w:hAnsi="Calibri" w:cs="Arial"/>
          <w:bCs/>
          <w:lang w:val="en-US"/>
        </w:rPr>
        <w:t>Almohandes, A.; Carcuac, O.; Abrahamsson,</w:t>
      </w:r>
      <w:r w:rsidRPr="00190009">
        <w:rPr>
          <w:rFonts w:ascii="Calibri" w:hAnsi="Calibri" w:cs="Arial"/>
          <w:bCs/>
          <w:lang w:val="en-US"/>
        </w:rPr>
        <w:t xml:space="preserve"> I.; Lund, H.; Berglundh, T. Re-osseointegration following reconstructive surgical therapy of experimental peri-implantitis. A pre-clinical in vivo study. Clin. Oral Implant. Res. 2019, 30, 447-456.</w:t>
      </w:r>
    </w:p>
    <w:p w14:paraId="573EC7CA" w14:textId="77777777" w:rsidR="00DB1D4F" w:rsidRPr="008D67E9" w:rsidRDefault="00D70A8D">
      <w:pPr>
        <w:rPr>
          <w:rFonts w:ascii="Calibri" w:hAnsi="Calibri" w:cs="Arial"/>
          <w:bCs/>
          <w:lang w:val="sv-SE"/>
        </w:rPr>
      </w:pPr>
      <w:r w:rsidRPr="00190009">
        <w:rPr>
          <w:rFonts w:ascii="Calibri" w:hAnsi="Calibri" w:cs="Arial"/>
          <w:bCs/>
          <w:lang w:val="en-US"/>
        </w:rPr>
        <w:t>Bach G, Müller C. Basic evaluation of an antimicrobial ge</w:t>
      </w:r>
      <w:r w:rsidRPr="00190009">
        <w:rPr>
          <w:rFonts w:ascii="Calibri" w:hAnsi="Calibri" w:cs="Arial"/>
          <w:bCs/>
          <w:lang w:val="en-US"/>
        </w:rPr>
        <w:t xml:space="preserve">l for peri-implantitis treatment. </w:t>
      </w:r>
      <w:r w:rsidRPr="008D67E9">
        <w:rPr>
          <w:rFonts w:ascii="Calibri" w:hAnsi="Calibri" w:cs="Arial"/>
          <w:bCs/>
          <w:lang w:val="sv-SE"/>
        </w:rPr>
        <w:t>Implants</w:t>
      </w:r>
    </w:p>
    <w:p w14:paraId="1E837803" w14:textId="77777777" w:rsidR="00DB1D4F" w:rsidRPr="008D67E9" w:rsidRDefault="00D70A8D">
      <w:pPr>
        <w:rPr>
          <w:rFonts w:ascii="Calibri" w:hAnsi="Calibri" w:cs="Arial"/>
          <w:bCs/>
          <w:lang w:val="sv-SE"/>
        </w:rPr>
      </w:pPr>
      <w:r w:rsidRPr="008D67E9">
        <w:rPr>
          <w:rFonts w:ascii="Calibri" w:hAnsi="Calibri" w:cs="Arial"/>
          <w:bCs/>
          <w:lang w:val="sv-SE"/>
        </w:rPr>
        <w:t>2016;1:6-14.</w:t>
      </w:r>
    </w:p>
    <w:p w14:paraId="349FC695" w14:textId="77777777" w:rsidR="00DB1D4F" w:rsidRPr="00190009" w:rsidRDefault="00D70A8D">
      <w:pPr>
        <w:rPr>
          <w:rFonts w:ascii="Calibri" w:hAnsi="Calibri" w:cs="Arial"/>
          <w:bCs/>
          <w:lang w:val="en-US"/>
        </w:rPr>
      </w:pPr>
      <w:r w:rsidRPr="008D67E9">
        <w:rPr>
          <w:rFonts w:ascii="Calibri" w:hAnsi="Calibri" w:cs="Arial"/>
          <w:bCs/>
          <w:lang w:val="sv-SE"/>
        </w:rPr>
        <w:t xml:space="preserve">Carlson GA, Dragoo JL, Samimi B, Bruckner DA, Bernard GW, Hedrick M, et al. </w:t>
      </w:r>
      <w:r w:rsidRPr="00190009">
        <w:rPr>
          <w:rFonts w:ascii="Calibri" w:hAnsi="Calibri" w:cs="Arial"/>
          <w:bCs/>
          <w:lang w:val="en-US"/>
        </w:rPr>
        <w:t>Bacteriostatic properties of biomatrices against common orthopaedic pathogens. Biochem Biophys Res Commun 2004; 321: 472-478</w:t>
      </w:r>
      <w:r w:rsidRPr="00190009">
        <w:rPr>
          <w:rFonts w:ascii="Calibri" w:hAnsi="Calibri" w:cs="Arial"/>
          <w:bCs/>
          <w:lang w:val="en-US"/>
        </w:rPr>
        <w:t>.</w:t>
      </w:r>
    </w:p>
    <w:p w14:paraId="70922482" w14:textId="77777777" w:rsidR="00DB1D4F" w:rsidRPr="00190009" w:rsidRDefault="00D70A8D">
      <w:pPr>
        <w:rPr>
          <w:rFonts w:ascii="Calibri" w:hAnsi="Calibri" w:cs="Arial"/>
          <w:bCs/>
          <w:lang w:val="en-US"/>
        </w:rPr>
      </w:pPr>
      <w:r w:rsidRPr="00190009">
        <w:rPr>
          <w:rFonts w:ascii="Calibri" w:hAnsi="Calibri" w:cs="Arial"/>
          <w:bCs/>
          <w:lang w:val="en-US"/>
        </w:rPr>
        <w:t xml:space="preserve">Diehl D, Friedmann A, Liedloff P, Jung RM, Sculean A, Bilhan H. Adjunctive Application of Hyaluronic Acid in Combination with a Sodium Hypochlorite Gel for Non-Surgical Treatment of Residual Pockets Reduces the Need for Periodontal Surgery-Retrospective </w:t>
      </w:r>
      <w:r w:rsidRPr="00190009">
        <w:rPr>
          <w:rFonts w:ascii="Calibri" w:hAnsi="Calibri" w:cs="Arial"/>
          <w:bCs/>
          <w:lang w:val="en-US"/>
        </w:rPr>
        <w:t>Analysis of a Clinical Case Series. Materials (Basel). 2022 Sep 20;15(19):6508.</w:t>
      </w:r>
    </w:p>
    <w:p w14:paraId="318F7C06" w14:textId="77777777" w:rsidR="00DB1D4F" w:rsidRPr="00190009" w:rsidRDefault="00D70A8D">
      <w:pPr>
        <w:rPr>
          <w:rFonts w:ascii="Calibri" w:hAnsi="Calibri" w:cs="Arial"/>
          <w:bCs/>
          <w:lang w:val="en-US"/>
        </w:rPr>
      </w:pPr>
      <w:r w:rsidRPr="00190009">
        <w:rPr>
          <w:rFonts w:ascii="Calibri" w:hAnsi="Calibri" w:cs="Arial"/>
          <w:bCs/>
          <w:lang w:val="en-US"/>
        </w:rPr>
        <w:t>Heitz-Mayfield, L.J.; Mombelli, A. The therapy of peri-implantitis: A systematic review. Int. J. Oral Maxillofac. Implant. 2014, 29, 325-345.</w:t>
      </w:r>
    </w:p>
    <w:p w14:paraId="6895C220" w14:textId="77777777" w:rsidR="00DB1D4F" w:rsidRPr="00190009" w:rsidRDefault="00D70A8D">
      <w:pPr>
        <w:rPr>
          <w:rFonts w:ascii="Calibri" w:hAnsi="Calibri" w:cs="Arial"/>
          <w:bCs/>
          <w:lang w:val="en-US"/>
        </w:rPr>
      </w:pPr>
      <w:r w:rsidRPr="00190009">
        <w:rPr>
          <w:rFonts w:ascii="Calibri" w:hAnsi="Calibri" w:cs="Arial"/>
          <w:bCs/>
          <w:lang w:val="en-US"/>
        </w:rPr>
        <w:t>Iorio-Siciliano V, Blasi A, Stratu</w:t>
      </w:r>
      <w:r w:rsidRPr="00190009">
        <w:rPr>
          <w:rFonts w:ascii="Calibri" w:hAnsi="Calibri" w:cs="Arial"/>
          <w:bCs/>
          <w:lang w:val="en-US"/>
        </w:rPr>
        <w:t>l SI, Ramaglia L, Sculean A, Salvi GE, Rusu D. Anti-infective therapy of peri-implant mucositis with adjunctive delivery of a sodium hypochlorite gel: a 6-month randomized triple-blind controlled clinical trial. Clin Oral Investig. 2020 Jun;24(6):1971-1979</w:t>
      </w:r>
      <w:r w:rsidRPr="00190009">
        <w:rPr>
          <w:rFonts w:ascii="Calibri" w:hAnsi="Calibri" w:cs="Arial"/>
          <w:bCs/>
          <w:lang w:val="en-US"/>
        </w:rPr>
        <w:t>.</w:t>
      </w:r>
    </w:p>
    <w:p w14:paraId="54453E8F" w14:textId="77777777" w:rsidR="00DB1D4F" w:rsidRPr="00190009" w:rsidRDefault="00D70A8D">
      <w:pPr>
        <w:rPr>
          <w:rFonts w:ascii="Calibri" w:hAnsi="Calibri" w:cs="Arial"/>
          <w:bCs/>
          <w:lang w:val="en-US"/>
        </w:rPr>
      </w:pPr>
      <w:r w:rsidRPr="00190009">
        <w:rPr>
          <w:rFonts w:ascii="Calibri" w:hAnsi="Calibri" w:cs="Arial"/>
          <w:bCs/>
          <w:lang w:val="en-US"/>
        </w:rPr>
        <w:t>Iorio-Siciliano V, Ramaglia L, Isola G, Blasi A, Salvi GE, Sculean A. Changes in clinical parameters following adjunctive local sodium hypochlorite gel in minimally invasive nonsurgical therapy (MINST) of periodontal pockets: a 6-month randomized control</w:t>
      </w:r>
      <w:r w:rsidRPr="00190009">
        <w:rPr>
          <w:rFonts w:ascii="Calibri" w:hAnsi="Calibri" w:cs="Arial"/>
          <w:bCs/>
          <w:lang w:val="en-US"/>
        </w:rPr>
        <w:t>led clinical trial. Clin Oral Investig. 2021 Sep;25(9):5331-5340.</w:t>
      </w:r>
    </w:p>
    <w:p w14:paraId="7F7DD43B" w14:textId="77777777" w:rsidR="00DB1D4F" w:rsidRPr="00190009" w:rsidRDefault="00D70A8D">
      <w:pPr>
        <w:rPr>
          <w:rFonts w:ascii="Calibri" w:hAnsi="Calibri" w:cs="Arial"/>
          <w:bCs/>
          <w:lang w:val="en-US"/>
        </w:rPr>
      </w:pPr>
      <w:r w:rsidRPr="00190009">
        <w:rPr>
          <w:rFonts w:ascii="Calibri" w:hAnsi="Calibri" w:cs="Arial"/>
          <w:bCs/>
          <w:lang w:val="en-US"/>
        </w:rPr>
        <w:t>Jurczyk K, Nietzsche S, Ender C, Sculean A, Eick S. In vitro activity of sodium-hypochlorite gel on bacteria associated with periodontitis. 2015: doi:</w:t>
      </w:r>
      <w:hyperlink r:id="rId21" w:history="1">
        <w:r w:rsidRPr="00190009">
          <w:rPr>
            <w:rFonts w:ascii="Calibri" w:hAnsi="Calibri" w:cs="Arial"/>
            <w:bCs/>
            <w:lang w:val="en-US"/>
          </w:rPr>
          <w:t>10. 1007/ s00784-016-1711-9</w:t>
        </w:r>
      </w:hyperlink>
      <w:r w:rsidRPr="00190009">
        <w:rPr>
          <w:rFonts w:ascii="Calibri" w:hAnsi="Calibri" w:cs="Arial"/>
          <w:bCs/>
          <w:lang w:val="en-US"/>
        </w:rPr>
        <w:t>.</w:t>
      </w:r>
    </w:p>
    <w:p w14:paraId="1943C4EF" w14:textId="77777777" w:rsidR="00DB1D4F" w:rsidRPr="00190009" w:rsidRDefault="00D70A8D">
      <w:pPr>
        <w:rPr>
          <w:rFonts w:ascii="Calibri" w:hAnsi="Calibri" w:cs="Arial"/>
          <w:bCs/>
          <w:lang w:val="en-US"/>
        </w:rPr>
      </w:pPr>
      <w:r w:rsidRPr="00190009">
        <w:rPr>
          <w:rFonts w:ascii="Calibri" w:hAnsi="Calibri" w:cs="Arial"/>
          <w:bCs/>
          <w:lang w:val="en-US"/>
        </w:rPr>
        <w:t>King SR, Hickerson WL, Proctor KG. Beneficial actions of exogenous hyaluronic acid on healing. Surgery 1991;109(1):76-84.</w:t>
      </w:r>
    </w:p>
    <w:p w14:paraId="57E6D512" w14:textId="77777777" w:rsidR="00DB1D4F" w:rsidRPr="00190009" w:rsidRDefault="00D70A8D">
      <w:pPr>
        <w:rPr>
          <w:rFonts w:ascii="Calibri" w:hAnsi="Calibri" w:cs="Arial"/>
          <w:bCs/>
          <w:lang w:val="en-US"/>
        </w:rPr>
      </w:pPr>
      <w:r w:rsidRPr="00190009">
        <w:rPr>
          <w:rFonts w:ascii="Calibri" w:hAnsi="Calibri" w:cs="Arial"/>
          <w:bCs/>
          <w:lang w:val="en-US"/>
        </w:rPr>
        <w:t>Koo, K.T.; Khoury, F.; Keeve, P.L.; Schwarz, F.; Ramanauskaite, A.; Sculean, A.; Romanos, G. Impl</w:t>
      </w:r>
      <w:r w:rsidRPr="00190009">
        <w:rPr>
          <w:rFonts w:ascii="Calibri" w:hAnsi="Calibri" w:cs="Arial"/>
          <w:bCs/>
          <w:lang w:val="en-US"/>
        </w:rPr>
        <w:t>ant Surface Decontamination by Surgical Treatment of Periimplantitis: A Literature Review. Implant Dent. 2019, 28, 173-176.</w:t>
      </w:r>
    </w:p>
    <w:p w14:paraId="4D8901FC" w14:textId="77777777" w:rsidR="00DB1D4F" w:rsidRPr="00190009" w:rsidRDefault="00D70A8D">
      <w:pPr>
        <w:rPr>
          <w:rFonts w:ascii="Calibri" w:hAnsi="Calibri" w:cs="Arial"/>
          <w:bCs/>
          <w:lang w:val="en-US"/>
        </w:rPr>
      </w:pPr>
      <w:r w:rsidRPr="00190009">
        <w:rPr>
          <w:rFonts w:ascii="Calibri" w:hAnsi="Calibri" w:cs="Arial"/>
          <w:bCs/>
          <w:lang w:val="en-US"/>
        </w:rPr>
        <w:t>Mordini L, Sun N, Chang N, De Guzman JP, Generali L, Consolo U. Peri-implantitis Regenerative Therapy: A Review. Biology (Basel). 20</w:t>
      </w:r>
      <w:r w:rsidRPr="00190009">
        <w:rPr>
          <w:rFonts w:ascii="Calibri" w:hAnsi="Calibri" w:cs="Arial"/>
          <w:bCs/>
          <w:lang w:val="en-US"/>
        </w:rPr>
        <w:t>21 Aug 13;10(8):773. doi: 10.3390/biology10080773.</w:t>
      </w:r>
    </w:p>
    <w:p w14:paraId="1C1DF059" w14:textId="77777777" w:rsidR="00DB1D4F" w:rsidRPr="00190009" w:rsidRDefault="00D70A8D">
      <w:pPr>
        <w:rPr>
          <w:rFonts w:ascii="Calibri" w:hAnsi="Calibri" w:cs="Arial"/>
          <w:bCs/>
          <w:lang w:val="en-US"/>
        </w:rPr>
      </w:pPr>
      <w:r w:rsidRPr="00190009">
        <w:rPr>
          <w:rFonts w:ascii="Calibri" w:hAnsi="Calibri" w:cs="Arial"/>
          <w:bCs/>
          <w:lang w:val="en-US"/>
        </w:rPr>
        <w:t xml:space="preserve">Page RC, Kornman KS. The pathogenesis of human periodontitis: an introduction. Periodontol 2000. 1997 Jun;14:9-11. </w:t>
      </w:r>
    </w:p>
    <w:p w14:paraId="439A4AF7" w14:textId="77777777" w:rsidR="00DB1D4F" w:rsidRPr="00190009" w:rsidRDefault="00D70A8D">
      <w:pPr>
        <w:rPr>
          <w:rFonts w:ascii="Calibri" w:hAnsi="Calibri" w:cs="Arial"/>
          <w:bCs/>
          <w:lang w:val="en-US"/>
        </w:rPr>
      </w:pPr>
      <w:r w:rsidRPr="00190009">
        <w:rPr>
          <w:rFonts w:ascii="Calibri" w:hAnsi="Calibri" w:cs="Arial"/>
          <w:bCs/>
          <w:lang w:val="en-US"/>
        </w:rPr>
        <w:t>Rajan P, Dusanapudi LN, Kumar CS, Nair D. Hyaluronic acid - a simple, unusual polysacchar</w:t>
      </w:r>
      <w:r w:rsidRPr="00190009">
        <w:rPr>
          <w:rFonts w:ascii="Calibri" w:hAnsi="Calibri" w:cs="Arial"/>
          <w:bCs/>
          <w:lang w:val="en-US"/>
        </w:rPr>
        <w:t>ide: A potential mediator for periodontal regeneration. Universal Research Journal of Dentistry. 2013; 3: 113.</w:t>
      </w:r>
    </w:p>
    <w:p w14:paraId="113ACE42" w14:textId="77777777" w:rsidR="00DB1D4F" w:rsidRPr="00190009" w:rsidRDefault="00D70A8D">
      <w:pPr>
        <w:rPr>
          <w:rFonts w:ascii="Calibri" w:hAnsi="Calibri" w:cs="Arial"/>
          <w:bCs/>
          <w:lang w:val="en-US"/>
        </w:rPr>
      </w:pPr>
      <w:r w:rsidRPr="00190009">
        <w:rPr>
          <w:rFonts w:ascii="Calibri" w:hAnsi="Calibri" w:cs="Arial"/>
          <w:bCs/>
          <w:lang w:val="en-US"/>
        </w:rPr>
        <w:t>Renvert, S.; Polyzois, I.; Maguire, R. Re-osseointegration on previously contaminated surfaces: A systematic review. Clin. Oral Implant. Res. 200</w:t>
      </w:r>
      <w:r w:rsidRPr="00190009">
        <w:rPr>
          <w:rFonts w:ascii="Calibri" w:hAnsi="Calibri" w:cs="Arial"/>
          <w:bCs/>
          <w:lang w:val="en-US"/>
        </w:rPr>
        <w:t xml:space="preserve">9, 20 (Suppl. 4), 216-227.  </w:t>
      </w:r>
    </w:p>
    <w:p w14:paraId="18077C5E" w14:textId="77777777" w:rsidR="00DB1D4F" w:rsidRPr="00190009" w:rsidRDefault="00D70A8D">
      <w:pPr>
        <w:rPr>
          <w:rFonts w:ascii="Calibri" w:hAnsi="Calibri" w:cs="Arial"/>
          <w:bCs/>
          <w:lang w:val="en-US"/>
        </w:rPr>
      </w:pPr>
      <w:r w:rsidRPr="00190009">
        <w:rPr>
          <w:rFonts w:ascii="Calibri" w:hAnsi="Calibri" w:cs="Arial"/>
          <w:bCs/>
          <w:lang w:val="en-US"/>
        </w:rPr>
        <w:t>Renvert, S.; Polyzois, I.N. Clinical approaches to treat peri-implant mucositis and peri-implantitis. Periodontol. 2000 2015, 68, 369-404.</w:t>
      </w:r>
    </w:p>
    <w:p w14:paraId="723AD313" w14:textId="77777777" w:rsidR="00DB1D4F" w:rsidRPr="00190009" w:rsidRDefault="00D70A8D">
      <w:pPr>
        <w:rPr>
          <w:rFonts w:ascii="Calibri" w:hAnsi="Calibri" w:cs="Arial"/>
          <w:bCs/>
          <w:lang w:val="en-US"/>
        </w:rPr>
      </w:pPr>
      <w:r w:rsidRPr="00190009">
        <w:rPr>
          <w:rFonts w:ascii="Calibri" w:hAnsi="Calibri" w:cs="Arial"/>
          <w:bCs/>
          <w:lang w:val="en-US"/>
        </w:rPr>
        <w:t>Schmidlin PR, Sahrmann P, Ramel C, Imfeld T, Müller J, Roos M, Jung RE. Peri-implantitis</w:t>
      </w:r>
      <w:r w:rsidRPr="00190009">
        <w:rPr>
          <w:rFonts w:ascii="Calibri" w:hAnsi="Calibri" w:cs="Arial"/>
          <w:bCs/>
          <w:lang w:val="en-US"/>
        </w:rPr>
        <w:t xml:space="preserve"> prevalence and treatment in implant-oriented private practices: A cross-sectional postal and Internet survey. Schweiz Monatsschr Zahnmed 2012;122:1136-1144.</w:t>
      </w:r>
    </w:p>
    <w:p w14:paraId="55C07131" w14:textId="77777777" w:rsidR="00DB1D4F" w:rsidRPr="00190009" w:rsidRDefault="00D70A8D">
      <w:pPr>
        <w:rPr>
          <w:rFonts w:ascii="Calibri" w:hAnsi="Calibri" w:cs="Arial"/>
          <w:bCs/>
          <w:lang w:val="en-US"/>
        </w:rPr>
      </w:pPr>
      <w:r w:rsidRPr="00190009">
        <w:rPr>
          <w:rFonts w:ascii="Calibri" w:hAnsi="Calibri" w:cs="Arial"/>
          <w:bCs/>
          <w:lang w:val="en-US"/>
        </w:rPr>
        <w:t xml:space="preserve">Schwarz F, Sculean A, Engebretson SP, Becker J, Sager M. Animal models for peri-implant mucositis </w:t>
      </w:r>
      <w:r w:rsidRPr="00190009">
        <w:rPr>
          <w:rFonts w:ascii="Calibri" w:hAnsi="Calibri" w:cs="Arial"/>
          <w:bCs/>
          <w:lang w:val="en-US"/>
        </w:rPr>
        <w:t>and peri-implantitis. Periodontol 2000 2015;68:168-181.</w:t>
      </w:r>
    </w:p>
    <w:p w14:paraId="52C35737" w14:textId="77777777" w:rsidR="00DB1D4F" w:rsidRPr="00190009" w:rsidRDefault="00D70A8D">
      <w:pPr>
        <w:rPr>
          <w:rFonts w:ascii="Calibri" w:hAnsi="Calibri" w:cs="Arial"/>
          <w:bCs/>
          <w:lang w:val="en-US"/>
        </w:rPr>
      </w:pPr>
      <w:r w:rsidRPr="00190009">
        <w:rPr>
          <w:rFonts w:ascii="Calibri" w:hAnsi="Calibri" w:cs="Arial"/>
          <w:bCs/>
          <w:lang w:val="en-US"/>
        </w:rPr>
        <w:t>Shirakata Y, Imafuji T, Nakamura T, Kawakami Y, Shinohara Y, Noguchi K, Pilloni A, Sculean A. Periodontal wound healing/regeneration of two-wall intrabony defects following reconstructive surgery with</w:t>
      </w:r>
      <w:r w:rsidRPr="00190009">
        <w:rPr>
          <w:rFonts w:ascii="Calibri" w:hAnsi="Calibri" w:cs="Arial"/>
          <w:bCs/>
          <w:lang w:val="en-US"/>
        </w:rPr>
        <w:t xml:space="preserve"> cross-linked hyaluronic acid-gel with or without a collagen matrix: a preclinical study in dogs. Quintessence Int. 2021;0(0):308-316. </w:t>
      </w:r>
    </w:p>
    <w:p w14:paraId="2AF5C0D5" w14:textId="77777777" w:rsidR="00DB1D4F" w:rsidRPr="00190009" w:rsidRDefault="00D70A8D">
      <w:pPr>
        <w:rPr>
          <w:rFonts w:ascii="Calibri" w:hAnsi="Calibri" w:cs="Arial"/>
          <w:bCs/>
          <w:lang w:val="en-US"/>
        </w:rPr>
      </w:pPr>
      <w:r w:rsidRPr="00190009">
        <w:rPr>
          <w:rFonts w:ascii="Calibri" w:hAnsi="Calibri" w:cs="Arial"/>
          <w:bCs/>
          <w:lang w:val="en-US"/>
        </w:rPr>
        <w:t>Smeets R, Henningsen A, Jung O, Heiland M, Hammächer C, Stein JM. Definition, etiology, prevention and treatment of peri</w:t>
      </w:r>
      <w:r w:rsidRPr="00190009">
        <w:rPr>
          <w:rFonts w:ascii="Calibri" w:hAnsi="Calibri" w:cs="Arial"/>
          <w:bCs/>
          <w:lang w:val="en-US"/>
        </w:rPr>
        <w:t>-implantitis - a review Head &amp; Face Medicine 2014,10:34.</w:t>
      </w:r>
    </w:p>
    <w:p w14:paraId="30F37BC7" w14:textId="77777777" w:rsidR="00DB1D4F" w:rsidRPr="00190009" w:rsidRDefault="00D70A8D">
      <w:pPr>
        <w:rPr>
          <w:rFonts w:ascii="Calibri" w:hAnsi="Calibri" w:cs="Arial"/>
          <w:bCs/>
          <w:lang w:val="en-US"/>
        </w:rPr>
      </w:pPr>
      <w:r w:rsidRPr="00190009">
        <w:rPr>
          <w:rFonts w:ascii="Calibri" w:hAnsi="Calibri" w:cs="Arial"/>
          <w:bCs/>
          <w:lang w:val="en-US"/>
        </w:rPr>
        <w:t>Stavropoulos, A.; Bertl, K.; Eren, S.; Gotfredsen, K. Mechanical and biological complications after implantoplasty-A systematic review. Clin. Oral Implant. Res. 2019, 30, 833-848.</w:t>
      </w:r>
    </w:p>
    <w:p w14:paraId="07E05750" w14:textId="77777777" w:rsidR="00DB1D4F" w:rsidRPr="00190009" w:rsidRDefault="00D70A8D">
      <w:pPr>
        <w:contextualSpacing/>
        <w:rPr>
          <w:rFonts w:ascii="Calibri" w:hAnsi="Calibri"/>
          <w:lang w:val="en-US"/>
        </w:rPr>
      </w:pPr>
      <w:r w:rsidRPr="00190009">
        <w:rPr>
          <w:rFonts w:ascii="Calibri" w:hAnsi="Calibri"/>
          <w:lang w:val="en-US"/>
        </w:rPr>
        <w:t xml:space="preserve">Stiller M, Kluk E, </w:t>
      </w:r>
      <w:r w:rsidRPr="00190009">
        <w:rPr>
          <w:rFonts w:ascii="Calibri" w:hAnsi="Calibri"/>
          <w:lang w:val="en-US"/>
        </w:rPr>
        <w:t>Bohner M, Lopez-Heredia MA, Müller-Mai C, Knabe C. Performance of β-tricalcium phosphate granules and putty, bone grafting materials after bilateral sinus floor augmentation in humans. Biomaterials. 2014;35(10):3154-3163.</w:t>
      </w:r>
    </w:p>
    <w:p w14:paraId="44825F9E" w14:textId="77777777" w:rsidR="00DB1D4F" w:rsidRPr="00190009" w:rsidRDefault="00D70A8D">
      <w:pPr>
        <w:rPr>
          <w:rFonts w:ascii="Calibri" w:hAnsi="Calibri" w:cs="Arial"/>
          <w:bCs/>
          <w:lang w:val="en-US"/>
        </w:rPr>
      </w:pPr>
      <w:r w:rsidRPr="00190009">
        <w:rPr>
          <w:rFonts w:ascii="Calibri" w:hAnsi="Calibri" w:cs="Arial"/>
          <w:bCs/>
          <w:lang w:val="en-US"/>
        </w:rPr>
        <w:t>Yildirim S, Özener HÖ, Doğan B, Ku</w:t>
      </w:r>
      <w:r w:rsidRPr="00190009">
        <w:rPr>
          <w:rFonts w:ascii="Calibri" w:hAnsi="Calibri" w:cs="Arial"/>
          <w:bCs/>
          <w:lang w:val="en-US"/>
        </w:rPr>
        <w:t>ru B. Effect of Topically-Applied Hyaluronic-Acid on Pain and Palatal Epithelial Wound Healing: An Examiner-Blind, Randomized, Controlled Clinical Trial. J Periodontol. 2017;15:1-14.</w:t>
      </w:r>
    </w:p>
    <w:p w14:paraId="589B1C25" w14:textId="77777777" w:rsidR="00067425" w:rsidRPr="00190009" w:rsidRDefault="00067425" w:rsidP="009D36C5">
      <w:pPr>
        <w:rPr>
          <w:rFonts w:ascii="Calibri" w:hAnsi="Calibri" w:cs="Arial"/>
          <w:bCs/>
          <w:lang w:val="en-US"/>
        </w:rPr>
      </w:pPr>
    </w:p>
    <w:p w14:paraId="519398EC" w14:textId="77777777" w:rsidR="00067654" w:rsidRPr="00190009" w:rsidRDefault="00D12D4B" w:rsidP="00D12D4B">
      <w:pPr>
        <w:rPr>
          <w:rFonts w:ascii="Calibri" w:hAnsi="Calibri" w:cs="Arial"/>
          <w:bCs/>
          <w:lang w:val="en-US"/>
        </w:rPr>
      </w:pPr>
      <w:r w:rsidRPr="00190009">
        <w:rPr>
          <w:rFonts w:ascii="Calibri" w:hAnsi="Calibri" w:cs="Arial"/>
          <w:bCs/>
          <w:lang w:val="en-US"/>
        </w:rPr>
        <w:t xml:space="preserve"> </w:t>
      </w:r>
    </w:p>
    <w:sectPr w:rsidR="00067654" w:rsidRPr="00190009" w:rsidSect="006530AE">
      <w:headerReference w:type="even" r:id="rId22"/>
      <w:headerReference w:type="default" r:id="rId23"/>
      <w:footerReference w:type="even" r:id="rId24"/>
      <w:footerReference w:type="default" r:id="rId25"/>
      <w:headerReference w:type="first" r:id="rId26"/>
      <w:footerReference w:type="first" r:id="rId27"/>
      <w:pgSz w:w="11906" w:h="16838"/>
      <w:pgMar w:top="1134" w:right="1134"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120C9" w14:textId="77777777" w:rsidR="00D70A8D" w:rsidRDefault="00D70A8D" w:rsidP="00293D2F">
      <w:r>
        <w:separator/>
      </w:r>
    </w:p>
  </w:endnote>
  <w:endnote w:type="continuationSeparator" w:id="0">
    <w:p w14:paraId="64315582" w14:textId="77777777" w:rsidR="00D70A8D" w:rsidRDefault="00D70A8D" w:rsidP="0029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E1FF6" w14:textId="77777777" w:rsidR="006530AE" w:rsidRDefault="006530A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55A5" w14:textId="77777777" w:rsidR="006530AE" w:rsidRDefault="006530A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64BD" w14:textId="77777777" w:rsidR="006530AE" w:rsidRDefault="006530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A7C19" w14:textId="77777777" w:rsidR="00D70A8D" w:rsidRDefault="00D70A8D" w:rsidP="00293D2F">
      <w:r>
        <w:separator/>
      </w:r>
    </w:p>
  </w:footnote>
  <w:footnote w:type="continuationSeparator" w:id="0">
    <w:p w14:paraId="68E6B520" w14:textId="77777777" w:rsidR="00D70A8D" w:rsidRDefault="00D70A8D" w:rsidP="00293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D00A" w14:textId="77777777" w:rsidR="006530AE" w:rsidRDefault="006530A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A622" w14:textId="77777777" w:rsidR="006530AE" w:rsidRDefault="006530A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4356" w14:textId="77777777" w:rsidR="006530AE" w:rsidRDefault="006530A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Arial" w:hAnsi="Arial" w:cs="Arial"/>
        <w:b/>
        <w:bCs/>
        <w:sz w:val="24"/>
        <w:szCs w:val="24"/>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5227D05"/>
    <w:multiLevelType w:val="hybridMultilevel"/>
    <w:tmpl w:val="015CA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9B1409"/>
    <w:multiLevelType w:val="hybridMultilevel"/>
    <w:tmpl w:val="C30C45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BD25C88"/>
    <w:multiLevelType w:val="hybridMultilevel"/>
    <w:tmpl w:val="237234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155937"/>
    <w:multiLevelType w:val="hybridMultilevel"/>
    <w:tmpl w:val="A11AF3F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5A19493A"/>
    <w:multiLevelType w:val="hybridMultilevel"/>
    <w:tmpl w:val="06F67D54"/>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5F4E0691"/>
    <w:multiLevelType w:val="hybridMultilevel"/>
    <w:tmpl w:val="0FB4B88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62DC549A"/>
    <w:multiLevelType w:val="hybridMultilevel"/>
    <w:tmpl w:val="D5EEC79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701226E4"/>
    <w:multiLevelType w:val="hybridMultilevel"/>
    <w:tmpl w:val="7F00A2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1592946"/>
    <w:multiLevelType w:val="hybridMultilevel"/>
    <w:tmpl w:val="888041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A8054E1"/>
    <w:multiLevelType w:val="hybridMultilevel"/>
    <w:tmpl w:val="72BAA87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86607599">
    <w:abstractNumId w:val="0"/>
  </w:num>
  <w:num w:numId="2" w16cid:durableId="1980914166">
    <w:abstractNumId w:val="1"/>
  </w:num>
  <w:num w:numId="3" w16cid:durableId="102498523">
    <w:abstractNumId w:val="2"/>
  </w:num>
  <w:num w:numId="4" w16cid:durableId="2137091572">
    <w:abstractNumId w:val="4"/>
  </w:num>
  <w:num w:numId="5" w16cid:durableId="109131680">
    <w:abstractNumId w:val="10"/>
  </w:num>
  <w:num w:numId="6" w16cid:durableId="681443547">
    <w:abstractNumId w:val="6"/>
  </w:num>
  <w:num w:numId="7" w16cid:durableId="162015922">
    <w:abstractNumId w:val="11"/>
  </w:num>
  <w:num w:numId="8" w16cid:durableId="423190219">
    <w:abstractNumId w:val="7"/>
  </w:num>
  <w:num w:numId="9" w16cid:durableId="1702437014">
    <w:abstractNumId w:val="8"/>
  </w:num>
  <w:num w:numId="10" w16cid:durableId="1418599561">
    <w:abstractNumId w:val="3"/>
  </w:num>
  <w:num w:numId="11" w16cid:durableId="1972980535">
    <w:abstractNumId w:val="5"/>
  </w:num>
  <w:num w:numId="12" w16cid:durableId="1018851550">
    <w:abstractNumId w:val="12"/>
  </w:num>
  <w:num w:numId="13" w16cid:durableId="13652042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embedSystemFont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fxvv2256ez096evxamxvv51vpvv2fparevs&quot;&gt;Dr. Anton Friedmann Bibliothek Copy&lt;record-ids&gt;&lt;item&gt;490&lt;/item&gt;&lt;item&gt;4529&lt;/item&gt;&lt;item&gt;4808&lt;/item&gt;&lt;/record-ids&gt;&lt;/item&gt;&lt;/Libraries&gt;"/>
  </w:docVars>
  <w:rsids>
    <w:rsidRoot w:val="00B777CD"/>
    <w:rsid w:val="00001108"/>
    <w:rsid w:val="00006BB2"/>
    <w:rsid w:val="00013D74"/>
    <w:rsid w:val="000153AF"/>
    <w:rsid w:val="00017A49"/>
    <w:rsid w:val="00027EC0"/>
    <w:rsid w:val="00033A0F"/>
    <w:rsid w:val="00037094"/>
    <w:rsid w:val="00040A59"/>
    <w:rsid w:val="00041DF5"/>
    <w:rsid w:val="00044940"/>
    <w:rsid w:val="00046F2E"/>
    <w:rsid w:val="0005340B"/>
    <w:rsid w:val="00054F97"/>
    <w:rsid w:val="0006097F"/>
    <w:rsid w:val="0006116E"/>
    <w:rsid w:val="00064F23"/>
    <w:rsid w:val="00067425"/>
    <w:rsid w:val="00067654"/>
    <w:rsid w:val="00076EE0"/>
    <w:rsid w:val="00077055"/>
    <w:rsid w:val="00081B9B"/>
    <w:rsid w:val="000824F0"/>
    <w:rsid w:val="000851EE"/>
    <w:rsid w:val="000A02FB"/>
    <w:rsid w:val="000C20DC"/>
    <w:rsid w:val="000C6D04"/>
    <w:rsid w:val="000D1BF3"/>
    <w:rsid w:val="000D6DC9"/>
    <w:rsid w:val="000E1B5C"/>
    <w:rsid w:val="000E462D"/>
    <w:rsid w:val="000E55F5"/>
    <w:rsid w:val="000E6EFB"/>
    <w:rsid w:val="000F7732"/>
    <w:rsid w:val="00106B0B"/>
    <w:rsid w:val="00106C2D"/>
    <w:rsid w:val="00113042"/>
    <w:rsid w:val="00114460"/>
    <w:rsid w:val="00115644"/>
    <w:rsid w:val="001156AE"/>
    <w:rsid w:val="0011589E"/>
    <w:rsid w:val="00116818"/>
    <w:rsid w:val="00117AC8"/>
    <w:rsid w:val="00135CBC"/>
    <w:rsid w:val="00142CBA"/>
    <w:rsid w:val="00146917"/>
    <w:rsid w:val="00154814"/>
    <w:rsid w:val="00163965"/>
    <w:rsid w:val="00164209"/>
    <w:rsid w:val="0016510D"/>
    <w:rsid w:val="00167345"/>
    <w:rsid w:val="00171683"/>
    <w:rsid w:val="00174105"/>
    <w:rsid w:val="00176057"/>
    <w:rsid w:val="0018433F"/>
    <w:rsid w:val="001845B2"/>
    <w:rsid w:val="001860AE"/>
    <w:rsid w:val="00190009"/>
    <w:rsid w:val="00191D5A"/>
    <w:rsid w:val="00192ACD"/>
    <w:rsid w:val="001A11A4"/>
    <w:rsid w:val="001A148A"/>
    <w:rsid w:val="001A2BC9"/>
    <w:rsid w:val="001A4073"/>
    <w:rsid w:val="001B08D4"/>
    <w:rsid w:val="001B2517"/>
    <w:rsid w:val="001C08E5"/>
    <w:rsid w:val="001C2A92"/>
    <w:rsid w:val="001C7A53"/>
    <w:rsid w:val="001D2898"/>
    <w:rsid w:val="001D44A5"/>
    <w:rsid w:val="001E2C6A"/>
    <w:rsid w:val="001E3D1B"/>
    <w:rsid w:val="001E4BC8"/>
    <w:rsid w:val="001F03E0"/>
    <w:rsid w:val="001F2C9F"/>
    <w:rsid w:val="00210E35"/>
    <w:rsid w:val="002112C9"/>
    <w:rsid w:val="00220620"/>
    <w:rsid w:val="00221087"/>
    <w:rsid w:val="00225340"/>
    <w:rsid w:val="00230B5C"/>
    <w:rsid w:val="002313C3"/>
    <w:rsid w:val="00232E49"/>
    <w:rsid w:val="002432A4"/>
    <w:rsid w:val="002447EA"/>
    <w:rsid w:val="0026635C"/>
    <w:rsid w:val="00270FD8"/>
    <w:rsid w:val="00271D45"/>
    <w:rsid w:val="0027649E"/>
    <w:rsid w:val="002770B7"/>
    <w:rsid w:val="00277922"/>
    <w:rsid w:val="002867A3"/>
    <w:rsid w:val="00293D2F"/>
    <w:rsid w:val="0029449D"/>
    <w:rsid w:val="00297E42"/>
    <w:rsid w:val="002A4730"/>
    <w:rsid w:val="002A736C"/>
    <w:rsid w:val="002B49F2"/>
    <w:rsid w:val="002C0A4A"/>
    <w:rsid w:val="002D24AE"/>
    <w:rsid w:val="002E6962"/>
    <w:rsid w:val="002F492C"/>
    <w:rsid w:val="002F5252"/>
    <w:rsid w:val="00305058"/>
    <w:rsid w:val="003068E6"/>
    <w:rsid w:val="00315429"/>
    <w:rsid w:val="00316F31"/>
    <w:rsid w:val="00317C30"/>
    <w:rsid w:val="0032014B"/>
    <w:rsid w:val="00322B3C"/>
    <w:rsid w:val="00327AA6"/>
    <w:rsid w:val="003307B4"/>
    <w:rsid w:val="00333CFF"/>
    <w:rsid w:val="003342CF"/>
    <w:rsid w:val="00335277"/>
    <w:rsid w:val="003364D3"/>
    <w:rsid w:val="00347769"/>
    <w:rsid w:val="0035650D"/>
    <w:rsid w:val="0035652C"/>
    <w:rsid w:val="00360302"/>
    <w:rsid w:val="00364714"/>
    <w:rsid w:val="003655C1"/>
    <w:rsid w:val="00370819"/>
    <w:rsid w:val="00374FCA"/>
    <w:rsid w:val="00380442"/>
    <w:rsid w:val="0038157B"/>
    <w:rsid w:val="00382993"/>
    <w:rsid w:val="0038600D"/>
    <w:rsid w:val="003B1331"/>
    <w:rsid w:val="003C5E33"/>
    <w:rsid w:val="003D27DA"/>
    <w:rsid w:val="003E30BD"/>
    <w:rsid w:val="003E5382"/>
    <w:rsid w:val="003F0ECB"/>
    <w:rsid w:val="00400262"/>
    <w:rsid w:val="00415710"/>
    <w:rsid w:val="00423DB7"/>
    <w:rsid w:val="00432B58"/>
    <w:rsid w:val="00440403"/>
    <w:rsid w:val="004419F9"/>
    <w:rsid w:val="00441C8D"/>
    <w:rsid w:val="004420B8"/>
    <w:rsid w:val="004432BC"/>
    <w:rsid w:val="0044355C"/>
    <w:rsid w:val="004678BB"/>
    <w:rsid w:val="00486E90"/>
    <w:rsid w:val="00492276"/>
    <w:rsid w:val="004A1479"/>
    <w:rsid w:val="004A1887"/>
    <w:rsid w:val="004A78A1"/>
    <w:rsid w:val="004A7FBF"/>
    <w:rsid w:val="004B19CD"/>
    <w:rsid w:val="004B243F"/>
    <w:rsid w:val="004B372D"/>
    <w:rsid w:val="004B5B37"/>
    <w:rsid w:val="004B68A5"/>
    <w:rsid w:val="004C47F7"/>
    <w:rsid w:val="004C6F2A"/>
    <w:rsid w:val="004C71B8"/>
    <w:rsid w:val="004D62F8"/>
    <w:rsid w:val="004E463E"/>
    <w:rsid w:val="004F0C5B"/>
    <w:rsid w:val="004F1718"/>
    <w:rsid w:val="004F205D"/>
    <w:rsid w:val="004F2425"/>
    <w:rsid w:val="004F3F64"/>
    <w:rsid w:val="005020D4"/>
    <w:rsid w:val="00504608"/>
    <w:rsid w:val="005065E3"/>
    <w:rsid w:val="00506671"/>
    <w:rsid w:val="00510AA7"/>
    <w:rsid w:val="00515DE5"/>
    <w:rsid w:val="00516CCD"/>
    <w:rsid w:val="00517B21"/>
    <w:rsid w:val="005216C1"/>
    <w:rsid w:val="005269A0"/>
    <w:rsid w:val="005269B4"/>
    <w:rsid w:val="00534A66"/>
    <w:rsid w:val="00541D34"/>
    <w:rsid w:val="00544625"/>
    <w:rsid w:val="00551B1E"/>
    <w:rsid w:val="0055611C"/>
    <w:rsid w:val="00556FFE"/>
    <w:rsid w:val="00560DC8"/>
    <w:rsid w:val="00561EDD"/>
    <w:rsid w:val="0056600E"/>
    <w:rsid w:val="005707A9"/>
    <w:rsid w:val="00584E77"/>
    <w:rsid w:val="00586BA4"/>
    <w:rsid w:val="005939A9"/>
    <w:rsid w:val="005962D3"/>
    <w:rsid w:val="00597785"/>
    <w:rsid w:val="005A3B40"/>
    <w:rsid w:val="005B0FD3"/>
    <w:rsid w:val="005C67E8"/>
    <w:rsid w:val="005D09B5"/>
    <w:rsid w:val="005D0CC9"/>
    <w:rsid w:val="005D0D9F"/>
    <w:rsid w:val="005D198B"/>
    <w:rsid w:val="005D768E"/>
    <w:rsid w:val="005E145D"/>
    <w:rsid w:val="005E4330"/>
    <w:rsid w:val="005F219F"/>
    <w:rsid w:val="005F3B45"/>
    <w:rsid w:val="005F6BFD"/>
    <w:rsid w:val="005F7446"/>
    <w:rsid w:val="006008B7"/>
    <w:rsid w:val="006039DB"/>
    <w:rsid w:val="00611A99"/>
    <w:rsid w:val="00613E54"/>
    <w:rsid w:val="00632AE2"/>
    <w:rsid w:val="0064071B"/>
    <w:rsid w:val="0064604A"/>
    <w:rsid w:val="0064733C"/>
    <w:rsid w:val="0065296D"/>
    <w:rsid w:val="006530AE"/>
    <w:rsid w:val="0065502E"/>
    <w:rsid w:val="00656180"/>
    <w:rsid w:val="00680549"/>
    <w:rsid w:val="00681B96"/>
    <w:rsid w:val="00683EA2"/>
    <w:rsid w:val="00693270"/>
    <w:rsid w:val="006B2340"/>
    <w:rsid w:val="006B428A"/>
    <w:rsid w:val="006B535C"/>
    <w:rsid w:val="006B5E44"/>
    <w:rsid w:val="006B6A5B"/>
    <w:rsid w:val="006D304C"/>
    <w:rsid w:val="006D3D97"/>
    <w:rsid w:val="006D72AE"/>
    <w:rsid w:val="006E4382"/>
    <w:rsid w:val="006F131E"/>
    <w:rsid w:val="006F1792"/>
    <w:rsid w:val="00702CF3"/>
    <w:rsid w:val="00703BB3"/>
    <w:rsid w:val="007236A2"/>
    <w:rsid w:val="00723C30"/>
    <w:rsid w:val="00727493"/>
    <w:rsid w:val="00731D42"/>
    <w:rsid w:val="007356F1"/>
    <w:rsid w:val="00737D02"/>
    <w:rsid w:val="00741A96"/>
    <w:rsid w:val="00741C30"/>
    <w:rsid w:val="00745C13"/>
    <w:rsid w:val="00746293"/>
    <w:rsid w:val="007474EA"/>
    <w:rsid w:val="007626C0"/>
    <w:rsid w:val="007636D4"/>
    <w:rsid w:val="00775DC7"/>
    <w:rsid w:val="00777A45"/>
    <w:rsid w:val="00781C69"/>
    <w:rsid w:val="007822B1"/>
    <w:rsid w:val="007917EC"/>
    <w:rsid w:val="00792331"/>
    <w:rsid w:val="007A0D7D"/>
    <w:rsid w:val="007A0E97"/>
    <w:rsid w:val="007A45EC"/>
    <w:rsid w:val="007B2252"/>
    <w:rsid w:val="007B2FBF"/>
    <w:rsid w:val="007C4A1A"/>
    <w:rsid w:val="007C6363"/>
    <w:rsid w:val="007D61EA"/>
    <w:rsid w:val="007E49BE"/>
    <w:rsid w:val="007E587C"/>
    <w:rsid w:val="007E66A8"/>
    <w:rsid w:val="007E7B35"/>
    <w:rsid w:val="007F018A"/>
    <w:rsid w:val="007F123D"/>
    <w:rsid w:val="007F7127"/>
    <w:rsid w:val="008117E1"/>
    <w:rsid w:val="0082009F"/>
    <w:rsid w:val="00822C9A"/>
    <w:rsid w:val="00830701"/>
    <w:rsid w:val="0084056B"/>
    <w:rsid w:val="008450C0"/>
    <w:rsid w:val="00846D40"/>
    <w:rsid w:val="00847F1B"/>
    <w:rsid w:val="00856C9C"/>
    <w:rsid w:val="00861290"/>
    <w:rsid w:val="00865426"/>
    <w:rsid w:val="008734E3"/>
    <w:rsid w:val="00881A95"/>
    <w:rsid w:val="00882F1B"/>
    <w:rsid w:val="00890E8B"/>
    <w:rsid w:val="00896802"/>
    <w:rsid w:val="008A4353"/>
    <w:rsid w:val="008A730B"/>
    <w:rsid w:val="008B3B63"/>
    <w:rsid w:val="008B63A4"/>
    <w:rsid w:val="008C5E9D"/>
    <w:rsid w:val="008C67D7"/>
    <w:rsid w:val="008D06EB"/>
    <w:rsid w:val="008D67E9"/>
    <w:rsid w:val="008E4DCA"/>
    <w:rsid w:val="008E7102"/>
    <w:rsid w:val="008F358B"/>
    <w:rsid w:val="008F7A8F"/>
    <w:rsid w:val="0090364A"/>
    <w:rsid w:val="00905AB6"/>
    <w:rsid w:val="0090765E"/>
    <w:rsid w:val="00914334"/>
    <w:rsid w:val="00914B97"/>
    <w:rsid w:val="0092132B"/>
    <w:rsid w:val="009251A8"/>
    <w:rsid w:val="00927285"/>
    <w:rsid w:val="00946932"/>
    <w:rsid w:val="00952DBE"/>
    <w:rsid w:val="00982AE0"/>
    <w:rsid w:val="0099551B"/>
    <w:rsid w:val="009A7DB5"/>
    <w:rsid w:val="009B1348"/>
    <w:rsid w:val="009B64E7"/>
    <w:rsid w:val="009B77A4"/>
    <w:rsid w:val="009C2002"/>
    <w:rsid w:val="009C7440"/>
    <w:rsid w:val="009D0393"/>
    <w:rsid w:val="009D1B1F"/>
    <w:rsid w:val="009D31AA"/>
    <w:rsid w:val="009D3479"/>
    <w:rsid w:val="009D36C5"/>
    <w:rsid w:val="009D60E2"/>
    <w:rsid w:val="009E2757"/>
    <w:rsid w:val="009F0814"/>
    <w:rsid w:val="009F2C90"/>
    <w:rsid w:val="009F4347"/>
    <w:rsid w:val="009F7743"/>
    <w:rsid w:val="00A03ACF"/>
    <w:rsid w:val="00A07E73"/>
    <w:rsid w:val="00A13797"/>
    <w:rsid w:val="00A30873"/>
    <w:rsid w:val="00A53608"/>
    <w:rsid w:val="00A61E39"/>
    <w:rsid w:val="00A66354"/>
    <w:rsid w:val="00A67933"/>
    <w:rsid w:val="00A728B5"/>
    <w:rsid w:val="00A756D0"/>
    <w:rsid w:val="00A75C2C"/>
    <w:rsid w:val="00A77FC8"/>
    <w:rsid w:val="00A80995"/>
    <w:rsid w:val="00A904C9"/>
    <w:rsid w:val="00A90DBD"/>
    <w:rsid w:val="00A921A3"/>
    <w:rsid w:val="00A97403"/>
    <w:rsid w:val="00A97C26"/>
    <w:rsid w:val="00AA0791"/>
    <w:rsid w:val="00AA52AA"/>
    <w:rsid w:val="00AB17E8"/>
    <w:rsid w:val="00AB3A93"/>
    <w:rsid w:val="00AC7CB0"/>
    <w:rsid w:val="00AD7A40"/>
    <w:rsid w:val="00AE0208"/>
    <w:rsid w:val="00AE20D0"/>
    <w:rsid w:val="00AE24F5"/>
    <w:rsid w:val="00AF6A0A"/>
    <w:rsid w:val="00B047F9"/>
    <w:rsid w:val="00B05923"/>
    <w:rsid w:val="00B06C22"/>
    <w:rsid w:val="00B072CC"/>
    <w:rsid w:val="00B227A8"/>
    <w:rsid w:val="00B24885"/>
    <w:rsid w:val="00B35C26"/>
    <w:rsid w:val="00B41CA3"/>
    <w:rsid w:val="00B42653"/>
    <w:rsid w:val="00B42B28"/>
    <w:rsid w:val="00B504BB"/>
    <w:rsid w:val="00B5067F"/>
    <w:rsid w:val="00B5105D"/>
    <w:rsid w:val="00B727F8"/>
    <w:rsid w:val="00B736FC"/>
    <w:rsid w:val="00B74B8A"/>
    <w:rsid w:val="00B777CD"/>
    <w:rsid w:val="00B87D9B"/>
    <w:rsid w:val="00B962D4"/>
    <w:rsid w:val="00B965EB"/>
    <w:rsid w:val="00BA2C0E"/>
    <w:rsid w:val="00BA4E33"/>
    <w:rsid w:val="00BA5BE2"/>
    <w:rsid w:val="00BB23FF"/>
    <w:rsid w:val="00BB4D29"/>
    <w:rsid w:val="00BB5B7F"/>
    <w:rsid w:val="00BB74F7"/>
    <w:rsid w:val="00BC11FE"/>
    <w:rsid w:val="00BD4563"/>
    <w:rsid w:val="00BD6324"/>
    <w:rsid w:val="00BD7B96"/>
    <w:rsid w:val="00BE00DA"/>
    <w:rsid w:val="00BE088F"/>
    <w:rsid w:val="00BF3B16"/>
    <w:rsid w:val="00BF5AA8"/>
    <w:rsid w:val="00BF603E"/>
    <w:rsid w:val="00BF64CE"/>
    <w:rsid w:val="00C04F42"/>
    <w:rsid w:val="00C104B7"/>
    <w:rsid w:val="00C30081"/>
    <w:rsid w:val="00C30699"/>
    <w:rsid w:val="00C31553"/>
    <w:rsid w:val="00C331A0"/>
    <w:rsid w:val="00C37DEC"/>
    <w:rsid w:val="00C428BE"/>
    <w:rsid w:val="00C45BA3"/>
    <w:rsid w:val="00C50FD6"/>
    <w:rsid w:val="00C55702"/>
    <w:rsid w:val="00C5706E"/>
    <w:rsid w:val="00C60F42"/>
    <w:rsid w:val="00C66D75"/>
    <w:rsid w:val="00C67C18"/>
    <w:rsid w:val="00C74FFF"/>
    <w:rsid w:val="00C75A7E"/>
    <w:rsid w:val="00C75B84"/>
    <w:rsid w:val="00C80E15"/>
    <w:rsid w:val="00C82537"/>
    <w:rsid w:val="00C833E7"/>
    <w:rsid w:val="00C900DB"/>
    <w:rsid w:val="00C90DC3"/>
    <w:rsid w:val="00CA3A2E"/>
    <w:rsid w:val="00CA50CC"/>
    <w:rsid w:val="00CA55B3"/>
    <w:rsid w:val="00CB0423"/>
    <w:rsid w:val="00CB399C"/>
    <w:rsid w:val="00CC17EA"/>
    <w:rsid w:val="00CC27E7"/>
    <w:rsid w:val="00CC288B"/>
    <w:rsid w:val="00CC68DB"/>
    <w:rsid w:val="00CD1C04"/>
    <w:rsid w:val="00CE7E88"/>
    <w:rsid w:val="00D02FDC"/>
    <w:rsid w:val="00D12D4B"/>
    <w:rsid w:val="00D22DED"/>
    <w:rsid w:val="00D33DDC"/>
    <w:rsid w:val="00D349FC"/>
    <w:rsid w:val="00D34D01"/>
    <w:rsid w:val="00D37AE9"/>
    <w:rsid w:val="00D469F0"/>
    <w:rsid w:val="00D673A4"/>
    <w:rsid w:val="00D70A8D"/>
    <w:rsid w:val="00D72A20"/>
    <w:rsid w:val="00D81CBD"/>
    <w:rsid w:val="00D8402B"/>
    <w:rsid w:val="00D92338"/>
    <w:rsid w:val="00DA2D23"/>
    <w:rsid w:val="00DA6264"/>
    <w:rsid w:val="00DB1D4F"/>
    <w:rsid w:val="00DB2EA7"/>
    <w:rsid w:val="00DB4A5C"/>
    <w:rsid w:val="00DB50E5"/>
    <w:rsid w:val="00DC5581"/>
    <w:rsid w:val="00DC7FF6"/>
    <w:rsid w:val="00DD077C"/>
    <w:rsid w:val="00DD3314"/>
    <w:rsid w:val="00DE04B3"/>
    <w:rsid w:val="00DE1A4A"/>
    <w:rsid w:val="00E0559D"/>
    <w:rsid w:val="00E107D2"/>
    <w:rsid w:val="00E1433F"/>
    <w:rsid w:val="00E370F2"/>
    <w:rsid w:val="00E5343F"/>
    <w:rsid w:val="00E602EF"/>
    <w:rsid w:val="00E70D08"/>
    <w:rsid w:val="00E71BA2"/>
    <w:rsid w:val="00E7488A"/>
    <w:rsid w:val="00E80929"/>
    <w:rsid w:val="00E85112"/>
    <w:rsid w:val="00E9341D"/>
    <w:rsid w:val="00E93D7C"/>
    <w:rsid w:val="00E96DB1"/>
    <w:rsid w:val="00EA2406"/>
    <w:rsid w:val="00EA2713"/>
    <w:rsid w:val="00EB0F93"/>
    <w:rsid w:val="00EB1F3C"/>
    <w:rsid w:val="00EB298E"/>
    <w:rsid w:val="00EB324A"/>
    <w:rsid w:val="00EB4497"/>
    <w:rsid w:val="00ED48B1"/>
    <w:rsid w:val="00EE349F"/>
    <w:rsid w:val="00EE7A47"/>
    <w:rsid w:val="00EE7FFD"/>
    <w:rsid w:val="00EF34FE"/>
    <w:rsid w:val="00F00AC8"/>
    <w:rsid w:val="00F01FB8"/>
    <w:rsid w:val="00F07C5A"/>
    <w:rsid w:val="00F136F1"/>
    <w:rsid w:val="00F163D3"/>
    <w:rsid w:val="00F243BE"/>
    <w:rsid w:val="00F27809"/>
    <w:rsid w:val="00F32490"/>
    <w:rsid w:val="00F401B4"/>
    <w:rsid w:val="00F45C43"/>
    <w:rsid w:val="00F568A6"/>
    <w:rsid w:val="00F66F71"/>
    <w:rsid w:val="00F701B0"/>
    <w:rsid w:val="00F738E6"/>
    <w:rsid w:val="00F7710B"/>
    <w:rsid w:val="00F774B3"/>
    <w:rsid w:val="00F835E3"/>
    <w:rsid w:val="00F85DE3"/>
    <w:rsid w:val="00FA51D4"/>
    <w:rsid w:val="00FA6353"/>
    <w:rsid w:val="00FA64DB"/>
    <w:rsid w:val="00FA7C2B"/>
    <w:rsid w:val="00FB028A"/>
    <w:rsid w:val="00FB7C04"/>
    <w:rsid w:val="00FC4683"/>
    <w:rsid w:val="00FD29AA"/>
    <w:rsid w:val="00FE0D24"/>
    <w:rsid w:val="00FE2C68"/>
    <w:rsid w:val="00FF5549"/>
    <w:rsid w:val="00FF5AE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B41EFBE"/>
  <w14:defaultImageDpi w14:val="300"/>
  <w15:docId w15:val="{944DD870-E289-4974-8148-7ABA8CA2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C5B"/>
    <w:rPr>
      <w:sz w:val="24"/>
      <w:szCs w:val="24"/>
      <w:lang w:val="de-DE" w:eastAsia="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style>
  <w:style w:type="character" w:customStyle="1" w:styleId="Absatz-Standardschriftart1">
    <w:name w:val="Absatz-Standardschriftart1"/>
  </w:style>
  <w:style w:type="character" w:customStyle="1" w:styleId="Absatz-Standardschriftart10">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ufzhlungszeichen1">
    <w:name w:val="Aufzählungszeichen1"/>
  </w:style>
  <w:style w:type="character" w:customStyle="1" w:styleId="Nummerierungszeichen">
    <w:name w:val="Nummerierungszeichen"/>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Absatz-Standardschriftart11">
    <w:name w:val="WW-Absatz-Standardschriftart11"/>
  </w:style>
  <w:style w:type="character" w:customStyle="1" w:styleId="SprechblasentextZchn">
    <w:name w:val="Sprechblasentext Zchn"/>
    <w:basedOn w:val="WW-Absatz-Standardschriftart11"/>
  </w:style>
  <w:style w:type="character" w:customStyle="1" w:styleId="KopfzeileZchn">
    <w:name w:val="Kopfzeile Zchn"/>
    <w:basedOn w:val="WW-Absatz-Standardschriftart11"/>
  </w:style>
  <w:style w:type="character" w:customStyle="1" w:styleId="FuzeileZchn">
    <w:name w:val="Fußzeile Zchn"/>
    <w:basedOn w:val="WW-Absatz-Standardschriftart11"/>
  </w:style>
  <w:style w:type="character" w:customStyle="1" w:styleId="WW-Absatz-Standardschriftart111">
    <w:name w:val="WW-Absatz-Standardschriftart111"/>
  </w:style>
  <w:style w:type="character" w:customStyle="1" w:styleId="WW-Absatz-Standardschriftart12">
    <w:name w:val="WW-Absatz-Standardschriftart12"/>
  </w:style>
  <w:style w:type="character" w:customStyle="1" w:styleId="WW-Absatz-Standardschriftart1111">
    <w:name w:val="WW-Absatz-Standardschriftart1111"/>
  </w:style>
  <w:style w:type="paragraph" w:customStyle="1" w:styleId="berschrift">
    <w:name w:val="Überschrift"/>
    <w:basedOn w:val="Normal"/>
    <w:next w:val="Brdtext"/>
    <w:pPr>
      <w:keepNext/>
      <w:widowControl w:val="0"/>
      <w:suppressAutoHyphens/>
      <w:spacing w:before="240" w:after="120"/>
    </w:pPr>
  </w:style>
  <w:style w:type="paragraph" w:styleId="Brdtext">
    <w:name w:val="Body Text"/>
    <w:basedOn w:val="Normal"/>
    <w:pPr>
      <w:widowControl w:val="0"/>
      <w:suppressAutoHyphens/>
      <w:spacing w:after="120"/>
    </w:pPr>
  </w:style>
  <w:style w:type="paragraph" w:styleId="Lista">
    <w:name w:val="List"/>
    <w:basedOn w:val="Brdtext"/>
    <w:rPr>
      <w:rFonts w:cs="Tahoma"/>
    </w:rPr>
  </w:style>
  <w:style w:type="paragraph" w:styleId="Beskrivning">
    <w:name w:val="caption"/>
    <w:basedOn w:val="Normal"/>
    <w:uiPriority w:val="35"/>
    <w:qFormat/>
    <w:pPr>
      <w:widowControl w:val="0"/>
      <w:suppressLineNumbers/>
      <w:suppressAutoHyphens/>
      <w:spacing w:before="120" w:after="120"/>
    </w:pPr>
  </w:style>
  <w:style w:type="paragraph" w:customStyle="1" w:styleId="Verzeichnis">
    <w:name w:val="Verzeichnis"/>
    <w:basedOn w:val="Normal"/>
    <w:pPr>
      <w:widowControl w:val="0"/>
      <w:suppressLineNumbers/>
      <w:suppressAutoHyphens/>
    </w:pPr>
    <w:rPr>
      <w:rFonts w:cs="Tahoma"/>
    </w:rPr>
  </w:style>
  <w:style w:type="paragraph" w:customStyle="1" w:styleId="Beschriftung2">
    <w:name w:val="Beschriftung2"/>
    <w:basedOn w:val="Normal"/>
    <w:pPr>
      <w:widowControl w:val="0"/>
      <w:suppressLineNumbers/>
      <w:suppressAutoHyphens/>
      <w:spacing w:before="120" w:after="120"/>
    </w:pPr>
  </w:style>
  <w:style w:type="paragraph" w:customStyle="1" w:styleId="Beschriftung1">
    <w:name w:val="Beschriftung1"/>
    <w:basedOn w:val="Normal"/>
    <w:pPr>
      <w:widowControl w:val="0"/>
      <w:suppressLineNumbers/>
      <w:suppressAutoHyphens/>
      <w:spacing w:before="120" w:after="120"/>
    </w:pPr>
  </w:style>
  <w:style w:type="paragraph" w:customStyle="1" w:styleId="Rahmeninhalt">
    <w:name w:val="Rahmeninhalt"/>
    <w:basedOn w:val="Brdtext"/>
  </w:style>
  <w:style w:type="paragraph" w:customStyle="1" w:styleId="TabellenInhalt">
    <w:name w:val="Tabellen Inhalt"/>
    <w:basedOn w:val="Normal"/>
    <w:pPr>
      <w:widowControl w:val="0"/>
      <w:suppressLineNumbers/>
      <w:suppressAutoHyphens/>
    </w:pPr>
  </w:style>
  <w:style w:type="paragraph" w:customStyle="1" w:styleId="Tabellenberschrift">
    <w:name w:val="Tabellen Überschrift"/>
    <w:basedOn w:val="TabellenInhalt"/>
    <w:pPr>
      <w:jc w:val="center"/>
    </w:pPr>
    <w:rPr>
      <w:b/>
      <w:bCs/>
    </w:rPr>
  </w:style>
  <w:style w:type="paragraph" w:styleId="Ballongtext">
    <w:name w:val="Balloon Text"/>
    <w:basedOn w:val="Normal"/>
    <w:pPr>
      <w:suppressAutoHyphens/>
    </w:pPr>
  </w:style>
  <w:style w:type="paragraph" w:styleId="Liststycke">
    <w:name w:val="List Paragraph"/>
    <w:basedOn w:val="Normal"/>
    <w:uiPriority w:val="34"/>
    <w:qFormat/>
    <w:pPr>
      <w:suppressAutoHyphens/>
      <w:ind w:left="720"/>
    </w:pPr>
  </w:style>
  <w:style w:type="paragraph" w:styleId="Sidhuvud">
    <w:name w:val="header"/>
    <w:basedOn w:val="Normal"/>
    <w:pPr>
      <w:widowControl w:val="0"/>
      <w:suppressLineNumbers/>
      <w:tabs>
        <w:tab w:val="center" w:pos="4818"/>
        <w:tab w:val="right" w:pos="9637"/>
      </w:tabs>
      <w:suppressAutoHyphens/>
    </w:pPr>
  </w:style>
  <w:style w:type="paragraph" w:styleId="Sidfot">
    <w:name w:val="footer"/>
    <w:basedOn w:val="Normal"/>
    <w:pPr>
      <w:widowControl w:val="0"/>
      <w:suppressLineNumbers/>
      <w:tabs>
        <w:tab w:val="center" w:pos="4818"/>
        <w:tab w:val="right" w:pos="9637"/>
      </w:tabs>
      <w:suppressAutoHyphens/>
    </w:pPr>
  </w:style>
  <w:style w:type="character" w:styleId="Kommentarsreferens">
    <w:name w:val="annotation reference"/>
    <w:uiPriority w:val="99"/>
    <w:semiHidden/>
    <w:unhideWhenUsed/>
    <w:rsid w:val="00703BB3"/>
    <w:rPr>
      <w:sz w:val="18"/>
      <w:szCs w:val="18"/>
    </w:rPr>
  </w:style>
  <w:style w:type="paragraph" w:styleId="Kommentarer">
    <w:name w:val="annotation text"/>
    <w:basedOn w:val="Normal"/>
    <w:link w:val="KommentarerChar"/>
    <w:uiPriority w:val="99"/>
    <w:semiHidden/>
    <w:unhideWhenUsed/>
    <w:rsid w:val="00703BB3"/>
    <w:pPr>
      <w:widowControl w:val="0"/>
      <w:suppressAutoHyphens/>
    </w:pPr>
  </w:style>
  <w:style w:type="character" w:customStyle="1" w:styleId="KommentarerChar">
    <w:name w:val="Kommentarer Char"/>
    <w:link w:val="Kommentarer"/>
    <w:uiPriority w:val="99"/>
    <w:semiHidden/>
    <w:rsid w:val="00703BB3"/>
    <w:rPr>
      <w:sz w:val="24"/>
      <w:szCs w:val="24"/>
    </w:rPr>
  </w:style>
  <w:style w:type="paragraph" w:styleId="Kommentarsmne">
    <w:name w:val="annotation subject"/>
    <w:basedOn w:val="Kommentarer"/>
    <w:next w:val="Kommentarer"/>
    <w:link w:val="KommentarsmneChar"/>
    <w:uiPriority w:val="99"/>
    <w:semiHidden/>
    <w:unhideWhenUsed/>
    <w:rsid w:val="00703BB3"/>
    <w:rPr>
      <w:b/>
      <w:bCs/>
      <w:sz w:val="20"/>
      <w:szCs w:val="20"/>
    </w:rPr>
  </w:style>
  <w:style w:type="character" w:customStyle="1" w:styleId="KommentarsmneChar">
    <w:name w:val="Kommentarsämne Char"/>
    <w:link w:val="Kommentarsmne"/>
    <w:uiPriority w:val="99"/>
    <w:semiHidden/>
    <w:rsid w:val="00703BB3"/>
    <w:rPr>
      <w:b/>
      <w:bCs/>
      <w:sz w:val="24"/>
      <w:szCs w:val="24"/>
    </w:rPr>
  </w:style>
  <w:style w:type="paragraph" w:styleId="Revision">
    <w:name w:val="Revision"/>
    <w:hidden/>
    <w:uiPriority w:val="99"/>
    <w:semiHidden/>
    <w:rsid w:val="00703BB3"/>
    <w:rPr>
      <w:sz w:val="24"/>
      <w:szCs w:val="24"/>
      <w:lang w:val="de-DE" w:eastAsia="de-DE"/>
    </w:rPr>
  </w:style>
  <w:style w:type="table" w:styleId="Tabellrutnt">
    <w:name w:val="Table Grid"/>
    <w:basedOn w:val="Normaltabell"/>
    <w:uiPriority w:val="59"/>
    <w:rsid w:val="00890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Zchn"/>
    <w:rsid w:val="00597785"/>
    <w:pPr>
      <w:widowControl w:val="0"/>
      <w:suppressAutoHyphens/>
      <w:jc w:val="center"/>
    </w:pPr>
    <w:rPr>
      <w:noProof/>
    </w:rPr>
  </w:style>
  <w:style w:type="character" w:customStyle="1" w:styleId="EndNoteBibliographyTitleZchn">
    <w:name w:val="EndNote Bibliography Title Zchn"/>
    <w:link w:val="EndNoteBibliographyTitle"/>
    <w:rsid w:val="00597785"/>
    <w:rPr>
      <w:noProof/>
    </w:rPr>
  </w:style>
  <w:style w:type="paragraph" w:customStyle="1" w:styleId="EndNoteBibliography">
    <w:name w:val="EndNote Bibliography"/>
    <w:basedOn w:val="Normal"/>
    <w:link w:val="EndNoteBibliographyZchn"/>
    <w:rsid w:val="00597785"/>
    <w:pPr>
      <w:widowControl w:val="0"/>
      <w:suppressAutoHyphens/>
    </w:pPr>
    <w:rPr>
      <w:noProof/>
    </w:rPr>
  </w:style>
  <w:style w:type="character" w:customStyle="1" w:styleId="EndNoteBibliographyZchn">
    <w:name w:val="EndNote Bibliography Zchn"/>
    <w:link w:val="EndNoteBibliography"/>
    <w:rsid w:val="00597785"/>
    <w:rPr>
      <w:noProof/>
    </w:rPr>
  </w:style>
  <w:style w:type="paragraph" w:styleId="Normalwebb">
    <w:name w:val="Normal (Web)"/>
    <w:basedOn w:val="Normal"/>
    <w:uiPriority w:val="99"/>
    <w:semiHidden/>
    <w:unhideWhenUsed/>
    <w:rsid w:val="007B2F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4561">
      <w:bodyDiv w:val="1"/>
      <w:marLeft w:val="0"/>
      <w:marRight w:val="0"/>
      <w:marTop w:val="0"/>
      <w:marBottom w:val="0"/>
      <w:divBdr>
        <w:top w:val="none" w:sz="0" w:space="0" w:color="auto"/>
        <w:left w:val="none" w:sz="0" w:space="0" w:color="auto"/>
        <w:bottom w:val="none" w:sz="0" w:space="0" w:color="auto"/>
        <w:right w:val="none" w:sz="0" w:space="0" w:color="auto"/>
      </w:divBdr>
    </w:div>
    <w:div w:id="199316880">
      <w:bodyDiv w:val="1"/>
      <w:marLeft w:val="0"/>
      <w:marRight w:val="0"/>
      <w:marTop w:val="0"/>
      <w:marBottom w:val="0"/>
      <w:divBdr>
        <w:top w:val="none" w:sz="0" w:space="0" w:color="auto"/>
        <w:left w:val="none" w:sz="0" w:space="0" w:color="auto"/>
        <w:bottom w:val="none" w:sz="0" w:space="0" w:color="auto"/>
        <w:right w:val="none" w:sz="0" w:space="0" w:color="auto"/>
      </w:divBdr>
    </w:div>
    <w:div w:id="269289625">
      <w:bodyDiv w:val="1"/>
      <w:marLeft w:val="0"/>
      <w:marRight w:val="0"/>
      <w:marTop w:val="0"/>
      <w:marBottom w:val="0"/>
      <w:divBdr>
        <w:top w:val="none" w:sz="0" w:space="0" w:color="auto"/>
        <w:left w:val="none" w:sz="0" w:space="0" w:color="auto"/>
        <w:bottom w:val="none" w:sz="0" w:space="0" w:color="auto"/>
        <w:right w:val="none" w:sz="0" w:space="0" w:color="auto"/>
      </w:divBdr>
    </w:div>
    <w:div w:id="1110786078">
      <w:bodyDiv w:val="1"/>
      <w:marLeft w:val="0"/>
      <w:marRight w:val="0"/>
      <w:marTop w:val="0"/>
      <w:marBottom w:val="0"/>
      <w:divBdr>
        <w:top w:val="none" w:sz="0" w:space="0" w:color="auto"/>
        <w:left w:val="none" w:sz="0" w:space="0" w:color="auto"/>
        <w:bottom w:val="none" w:sz="0" w:space="0" w:color="auto"/>
        <w:right w:val="none" w:sz="0" w:space="0" w:color="auto"/>
      </w:divBdr>
    </w:div>
    <w:div w:id="1189828709">
      <w:bodyDiv w:val="1"/>
      <w:marLeft w:val="0"/>
      <w:marRight w:val="0"/>
      <w:marTop w:val="0"/>
      <w:marBottom w:val="0"/>
      <w:divBdr>
        <w:top w:val="none" w:sz="0" w:space="0" w:color="auto"/>
        <w:left w:val="none" w:sz="0" w:space="0" w:color="auto"/>
        <w:bottom w:val="none" w:sz="0" w:space="0" w:color="auto"/>
        <w:right w:val="none" w:sz="0" w:space="0" w:color="auto"/>
      </w:divBdr>
    </w:div>
    <w:div w:id="1293100765">
      <w:bodyDiv w:val="1"/>
      <w:marLeft w:val="0"/>
      <w:marRight w:val="0"/>
      <w:marTop w:val="0"/>
      <w:marBottom w:val="0"/>
      <w:divBdr>
        <w:top w:val="none" w:sz="0" w:space="0" w:color="auto"/>
        <w:left w:val="none" w:sz="0" w:space="0" w:color="auto"/>
        <w:bottom w:val="none" w:sz="0" w:space="0" w:color="auto"/>
        <w:right w:val="none" w:sz="0" w:space="0" w:color="auto"/>
      </w:divBdr>
    </w:div>
    <w:div w:id="1910729884">
      <w:bodyDiv w:val="1"/>
      <w:marLeft w:val="0"/>
      <w:marRight w:val="0"/>
      <w:marTop w:val="0"/>
      <w:marBottom w:val="0"/>
      <w:divBdr>
        <w:top w:val="none" w:sz="0" w:space="0" w:color="auto"/>
        <w:left w:val="none" w:sz="0" w:space="0" w:color="auto"/>
        <w:bottom w:val="none" w:sz="0" w:space="0" w:color="auto"/>
        <w:right w:val="none" w:sz="0" w:space="0" w:color="auto"/>
      </w:divBdr>
      <w:divsChild>
        <w:div w:id="861213734">
          <w:marLeft w:val="0"/>
          <w:marRight w:val="0"/>
          <w:marTop w:val="0"/>
          <w:marBottom w:val="0"/>
          <w:divBdr>
            <w:top w:val="none" w:sz="0" w:space="0" w:color="auto"/>
            <w:left w:val="none" w:sz="0" w:space="0" w:color="auto"/>
            <w:bottom w:val="none" w:sz="0" w:space="0" w:color="auto"/>
            <w:right w:val="none" w:sz="0" w:space="0" w:color="auto"/>
          </w:divBdr>
          <w:divsChild>
            <w:div w:id="116604363">
              <w:marLeft w:val="0"/>
              <w:marRight w:val="0"/>
              <w:marTop w:val="0"/>
              <w:marBottom w:val="0"/>
              <w:divBdr>
                <w:top w:val="none" w:sz="0" w:space="0" w:color="auto"/>
                <w:left w:val="none" w:sz="0" w:space="0" w:color="auto"/>
                <w:bottom w:val="none" w:sz="0" w:space="0" w:color="auto"/>
                <w:right w:val="none" w:sz="0" w:space="0" w:color="auto"/>
              </w:divBdr>
              <w:divsChild>
                <w:div w:id="9004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05844">
          <w:marLeft w:val="0"/>
          <w:marRight w:val="0"/>
          <w:marTop w:val="1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dx.doi.org/10.1007/s00784-016-1711-9"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2657</Words>
  <Characters>14087</Characters>
  <Application>Microsoft Office Word</Application>
  <DocSecurity>0</DocSecurity>
  <Lines>117</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Grundsätzliche Gedanken zur Eignung verschiedener Dekontaminationsverfahren bei der Therapie der Periimplantitis</vt:lpstr>
      <vt:lpstr>Grundsätzliche Gedanken zur Eignung verschiedener Dekontaminationsverfahren bei der Therapie der Periimplantitis</vt:lpstr>
    </vt:vector>
  </TitlesOfParts>
  <Company>Universität Witten/Herdecke</Company>
  <LinksUpToDate>false</LinksUpToDate>
  <CharactersWithSpaces>16711</CharactersWithSpaces>
  <SharedDoc>false</SharedDoc>
  <HLinks>
    <vt:vector size="6" baseType="variant">
      <vt:variant>
        <vt:i4>8060960</vt:i4>
      </vt:variant>
      <vt:variant>
        <vt:i4>3</vt:i4>
      </vt:variant>
      <vt:variant>
        <vt:i4>0</vt:i4>
      </vt:variant>
      <vt:variant>
        <vt:i4>5</vt:i4>
      </vt:variant>
      <vt:variant>
        <vt:lpwstr>http://dx.doi.org/10.1007/s00784-016-1711-9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Grundsätzliche Gedanken zur Eignung verschiedener Dekontaminationsverfahren bei der Therapie der Periimplantitis</dc:title>
  <dc:subject/>
  <dc:creator>Bach</dc:creator>
  <cp:keywords>, docId:05DDFDB10E9E948DEBE3C6023745BB6F</cp:keywords>
  <cp:lastModifiedBy>Alexandre Georjon</cp:lastModifiedBy>
  <cp:revision>3</cp:revision>
  <cp:lastPrinted>2015-11-25T05:47:00Z</cp:lastPrinted>
  <dcterms:created xsi:type="dcterms:W3CDTF">2023-04-06T09:12:00Z</dcterms:created>
  <dcterms:modified xsi:type="dcterms:W3CDTF">2023-04-06T09:59:00Z</dcterms:modified>
</cp:coreProperties>
</file>